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2.0 -->
  <w:body>
    <w:p>
      <w:pPr>
        <w:pStyle w:val="Heading1"/>
        <w:spacing w:line="252" w:lineRule="auto"/>
      </w:pPr>
      <w:r>
        <mc:AlternateContent>
          <mc:Choice Requires="wps">
            <w:drawing>
              <wp:anchor distT="0" distB="0" distL="0" distR="0" simplePos="0" relativeHeight="251660288" behindDoc="0" locked="0" layoutInCell="1" allowOverlap="1">
                <wp:simplePos x="0" y="0"/>
                <wp:positionH relativeFrom="page">
                  <wp:posOffset>32003</wp:posOffset>
                </wp:positionH>
                <wp:positionV relativeFrom="paragraph">
                  <wp:posOffset>364793</wp:posOffset>
                </wp:positionV>
                <wp:extent cx="1259205" cy="3538854"/>
                <wp:effectExtent l="0" t="0" r="0" b="0"/>
                <wp:wrapNone/>
                <wp:docPr id="5" name="Textbox 5"/>
                <wp:cNvGraphicFramePr/>
                <a:graphic xmlns:a="http://schemas.openxmlformats.org/drawingml/2006/main">
                  <a:graphicData uri="http://schemas.microsoft.com/office/word/2010/wordprocessingShape">
                    <wps:wsp xmlns:wps="http://schemas.microsoft.com/office/word/2010/wordprocessingShape">
                      <wps:cNvSpPr txBox="1"/>
                      <wps:spPr>
                        <a:xfrm>
                          <a:off x="0" y="0"/>
                          <a:ext cx="1259205" cy="3538854"/>
                        </a:xfrm>
                        <a:prstGeom prst="rect">
                          <a:avLst/>
                        </a:prstGeom>
                        <a:solidFill>
                          <a:srgbClr val="DBD8D6"/>
                        </a:solidFill>
                      </wps:spPr>
                      <wps:txbx>
                        <w:txbxContent>
                          <w:p>
                            <w:pPr>
                              <w:spacing w:before="45" w:line="259" w:lineRule="auto"/>
                              <w:ind w:left="38" w:right="64" w:firstLine="0"/>
                              <w:jc w:val="left"/>
                              <w:rPr>
                                <w:sz w:val="16"/>
                              </w:rPr>
                            </w:pPr>
                            <w:r>
                              <w:rPr>
                                <w:w w:val="110"/>
                                <w:sz w:val="15"/>
                              </w:rPr>
                              <w:t>Per</w:t>
                            </w:r>
                            <w:r>
                              <w:rPr>
                                <w:b/>
                                <w:color w:val="3382A8"/>
                                <w:w w:val="110"/>
                                <w:sz w:val="15"/>
                              </w:rPr>
                              <w:t xml:space="preserve"> «investimento sostenibile» </w:t>
                            </w:r>
                            <w:r>
                              <w:rPr>
                                <w:w w:val="110"/>
                                <w:sz w:val="15"/>
                              </w:rPr>
                              <w:t>si intende un investimento in un’attività economica che contribuisce al raggiungimento di un obiettivo ambientale o sociale, a condizione che tale investimento non arrechi un danno significativo a nessun obiettivo ambientale o sociale e che le società beneficiarie dell’investimento seguano buone pratiche di governance.</w:t>
                            </w:r>
                          </w:p>
                          <w:p>
                            <w:pPr>
                              <w:spacing w:before="136" w:line="259" w:lineRule="auto"/>
                              <w:ind w:left="38" w:right="55" w:firstLine="0"/>
                              <w:jc w:val="left"/>
                              <w:rPr>
                                <w:sz w:val="16"/>
                              </w:rPr>
                            </w:pPr>
                            <w:r>
                              <w:rPr>
                                <w:b/>
                                <w:color w:val="3382A8"/>
                                <w:w w:val="110"/>
                                <w:sz w:val="15"/>
                              </w:rPr>
                              <w:t xml:space="preserve">La tassonomia dell’UE </w:t>
                            </w:r>
                            <w:r>
                              <w:rPr>
                                <w:w w:val="110"/>
                                <w:sz w:val="15"/>
                              </w:rPr>
                              <w:t xml:space="preserve">è un sistema di classificazione stabilito dal regolamento (UE) 2020/852, che definisce un elenco di </w:t>
                            </w:r>
                            <w:r>
                              <w:rPr>
                                <w:b/>
                                <w:color w:val="3382A8"/>
                                <w:w w:val="110"/>
                                <w:sz w:val="15"/>
                              </w:rPr>
                              <w:t xml:space="preserve">attività economiche sostenibili dal punto di vista ambientale. </w:t>
                            </w:r>
                            <w:r>
                              <w:rPr>
                                <w:w w:val="110"/>
                                <w:sz w:val="15"/>
                              </w:rPr>
                              <w:t>Tale regolamento non stabilisce un elenco di attività economiche sostenibili dal punto di vista sociale.</w:t>
                            </w:r>
                          </w:p>
                          <w:p>
                            <w:pPr>
                              <w:spacing w:before="0" w:line="259" w:lineRule="auto"/>
                              <w:ind w:left="38" w:right="55" w:firstLine="0"/>
                              <w:jc w:val="left"/>
                              <w:rPr>
                                <w:sz w:val="16"/>
                              </w:rPr>
                            </w:pPr>
                            <w:r>
                              <w:rPr>
                                <w:w w:val="110"/>
                                <w:sz w:val="15"/>
                              </w:rPr>
                              <w:t>Gli investimenti sostenibili con un obiettivo ambientale possono essere allineati o meno alla tassonomia.</w:t>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_x0000_s1025" type="#_x0000_t202" style="width:99.15pt;height:278.65pt;margin-top:28.72pt;margin-left:2.52pt;mso-position-horizontal-relative:page;position:absolute;z-index:251661312" filled="t" fillcolor="#dbd8d6" stroked="f">
                <v:fill type="solid"/>
                <v:textbox inset="0,0,0,0">
                  <w:txbxContent>
                    <w:p>
                      <w:pPr>
                        <w:spacing w:before="45" w:line="259" w:lineRule="auto"/>
                        <w:ind w:left="38" w:right="64" w:firstLine="0"/>
                        <w:jc w:val="left"/>
                        <w:rPr>
                          <w:sz w:val="16"/>
                        </w:rPr>
                      </w:pPr>
                      <w:r>
                        <w:rPr>
                          <w:w w:val="110"/>
                          <w:sz w:val="16"/>
                        </w:rPr>
                        <w:t>Per</w:t>
                      </w:r>
                      <w:r>
                        <w:rPr>
                          <w:b/>
                          <w:color w:val="3382A8"/>
                          <w:w w:val="110"/>
                          <w:sz w:val="16"/>
                        </w:rPr>
                        <w:t xml:space="preserve"> investimento sostenibile </w:t>
                      </w:r>
                      <w:r>
                        <w:rPr>
                          <w:w w:val="110"/>
                          <w:sz w:val="16"/>
                        </w:rPr>
                        <w:t>si intende un investimento in un’attività economica che contribuisca al raggiungimento di un obiettivo ambientale o sociale, a condizione che l’investimento non danneggi in modo significativo alcun obiettivo ambientale o sociale e che le società beneficiarie dell’investimento seguano buone pratiche di governance.</w:t>
                      </w:r>
                    </w:p>
                    <w:p>
                      <w:pPr>
                        <w:spacing w:before="136" w:line="259" w:lineRule="auto"/>
                        <w:ind w:left="38" w:right="55" w:firstLine="0"/>
                        <w:jc w:val="left"/>
                        <w:rPr>
                          <w:sz w:val="16"/>
                        </w:rPr>
                      </w:pPr>
                      <w:r>
                        <w:rPr>
                          <w:b/>
                          <w:color w:val="3382A8"/>
                          <w:w w:val="110"/>
                          <w:sz w:val="16"/>
                        </w:rPr>
                        <w:t xml:space="preserve">La tassonomia dell’UE </w:t>
                      </w:r>
                      <w:r>
                        <w:rPr>
                          <w:w w:val="110"/>
                          <w:sz w:val="16"/>
                        </w:rPr>
                        <w:t xml:space="preserve">è un sistema di classificazione stabilito dal regolamento (UE) 2020/852, che istituisce un elenco di </w:t>
                      </w:r>
                      <w:r>
                        <w:rPr>
                          <w:b/>
                          <w:color w:val="3382A8"/>
                          <w:w w:val="110"/>
                          <w:sz w:val="16"/>
                        </w:rPr>
                        <w:t xml:space="preserve">attività economiche sostenibili dal punto di vista ambientale. </w:t>
                      </w:r>
                      <w:r>
                        <w:rPr>
                          <w:w w:val="110"/>
                          <w:sz w:val="16"/>
                        </w:rPr>
                        <w:t>Tale regolamento non stabilisce un elenco di attività economiche sostenibili dal punto di vista sociale.</w:t>
                      </w:r>
                    </w:p>
                    <w:p>
                      <w:pPr>
                        <w:spacing w:before="0" w:line="259" w:lineRule="auto"/>
                        <w:ind w:left="38" w:right="55" w:firstLine="0"/>
                        <w:jc w:val="left"/>
                        <w:rPr>
                          <w:sz w:val="16"/>
                        </w:rPr>
                      </w:pPr>
                      <w:r>
                        <w:rPr>
                          <w:w w:val="110"/>
                          <w:sz w:val="16"/>
                        </w:rPr>
                        <w:t>Gli investimenti sostenibili con un obiettivo ambientale potrebbero essere in linea con la tassonomia oppure no.</w:t>
                      </w:r>
                    </w:p>
                  </w:txbxContent>
                </v:textbox>
              </v:shape>
            </w:pict>
          </mc:Fallback>
        </mc:AlternateContent>
      </w:r>
      <w:r>
        <w:rPr>
          <w:w w:val="105"/>
          <w:sz w:val="27"/>
        </w:rPr>
        <w:t>Informazioni precontrattuali relative ai prodotti finanziari di cui all’articolo 8, paragrafi 1, 2 e 2-bis, del regolamento (UE) 2019/2088 e all’articolo 6, primo comma, del regolamento (UE) 2020/852</w:t>
      </w:r>
    </w:p>
    <w:p>
      <w:pPr>
        <w:pStyle w:val="Heading1"/>
        <w:spacing w:after="0" w:line="252" w:lineRule="auto"/>
        <w:sectPr>
          <w:headerReference w:type="default" r:id="rId4"/>
          <w:footerReference w:type="default" r:id="rId5"/>
          <w:type w:val="continuous"/>
          <w:pgSz w:w="11910" w:h="16840"/>
          <w:pgMar w:top="1200" w:right="0" w:bottom="840" w:left="0" w:header="10" w:footer="660"/>
          <w:pgNumType w:start="1"/>
          <w:cols w:space="708"/>
        </w:sectPr>
      </w:pPr>
    </w:p>
    <w:p>
      <w:pPr>
        <w:spacing w:before="76"/>
        <w:ind w:left="2364" w:right="0" w:firstLine="0"/>
        <w:jc w:val="left"/>
        <w:rPr>
          <w:b/>
          <w:sz w:val="22"/>
        </w:rPr>
      </w:pPr>
      <w:r>
        <w:rPr>
          <w:b/>
          <w:sz w:val="21"/>
        </w:rPr>
        <w:t>Nome del prodotto:</w:t>
      </w:r>
    </w:p>
    <w:p>
      <w:pPr>
        <w:spacing w:before="13"/>
        <w:ind w:left="2364" w:right="0" w:firstLine="0"/>
        <w:jc w:val="left"/>
        <w:rPr>
          <w:b/>
          <w:sz w:val="22"/>
        </w:rPr>
      </w:pPr>
      <w:r>
        <w:rPr>
          <w:b/>
          <w:color w:val="1A365D"/>
          <w:spacing w:val="2"/>
          <w:sz w:val="21"/>
        </w:rPr>
        <w:t>Wellington Global High Yield Bond Fund</w:t>
      </w:r>
    </w:p>
    <w:p>
      <w:pPr>
        <w:spacing w:before="76" w:line="252" w:lineRule="auto"/>
        <w:ind w:left="1648" w:right="842" w:firstLine="542"/>
        <w:jc w:val="left"/>
        <w:rPr>
          <w:b/>
          <w:sz w:val="22"/>
        </w:rPr>
      </w:pPr>
      <w:r>
        <w:rPr>
          <w:sz w:val="21"/>
        </w:rPr>
        <w:br w:type="column"/>
      </w:r>
      <w:r>
        <w:rPr>
          <w:b/>
          <w:w w:val="105"/>
          <w:sz w:val="21"/>
        </w:rPr>
        <w:t xml:space="preserve">Identificativo della persona giuridica: </w:t>
      </w:r>
      <w:r>
        <w:rPr>
          <w:b/>
          <w:color w:val="1A365D"/>
          <w:spacing w:val="-2"/>
          <w:sz w:val="21"/>
        </w:rPr>
        <w:t>DBV0DBJPDIXDTNXFJP47</w:t>
      </w:r>
    </w:p>
    <w:p>
      <w:pPr>
        <w:spacing w:after="0" w:line="252" w:lineRule="auto"/>
        <w:jc w:val="left"/>
        <w:rPr>
          <w:b/>
          <w:sz w:val="22"/>
        </w:rPr>
        <w:sectPr>
          <w:type w:val="continuous"/>
          <w:pgSz w:w="11910" w:h="16840"/>
          <w:pgMar w:top="1200" w:right="0" w:bottom="840" w:left="0" w:header="10" w:footer="660"/>
          <w:cols w:num="2" w:space="708" w:equalWidth="0">
            <w:col w:w="6575" w:space="40"/>
            <w:col w:w="5295" w:space="0"/>
          </w:cols>
        </w:sectPr>
      </w:pPr>
    </w:p>
    <w:p>
      <w:pPr>
        <w:pStyle w:val="BodyText"/>
        <w:spacing w:before="68"/>
        <w:rPr>
          <w:b/>
          <w:sz w:val="32"/>
        </w:rPr>
      </w:pPr>
    </w:p>
    <w:p>
      <w:pPr>
        <w:pStyle w:val="Title"/>
      </w:pPr>
      <w:r>
        <w:rPr>
          <w:w w:val="110"/>
          <w:sz w:val="31"/>
        </w:rPr>
        <w:t>Caratteristiche ambientali e/o sociali</w:t>
      </w:r>
    </w:p>
    <w:p>
      <w:pPr>
        <w:pStyle w:val="BodyText"/>
        <w:spacing w:before="3"/>
        <w:rPr>
          <w:sz w:val="10"/>
        </w:rPr>
      </w:pPr>
    </w:p>
    <w:tbl>
      <w:tblPr>
        <w:tblStyle w:val="TableNormal"/>
        <w:tblW w:w="0" w:type="auto"/>
        <w:jc w:val="left"/>
        <w:tblInd w:w="23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4140"/>
        <w:gridCol w:w="4615"/>
      </w:tblGrid>
      <w:tr>
        <w:tblPrEx>
          <w:tblW w:w="0" w:type="auto"/>
          <w:tblInd w:w="2357" w:type="dxa"/>
          <w:tblLayout w:type="fixed"/>
          <w:tblLook w:val="01E0"/>
        </w:tblPrEx>
        <w:trPr>
          <w:trHeight w:val="744"/>
        </w:trPr>
        <w:tc>
          <w:tcPr>
            <w:tcW w:w="8755" w:type="dxa"/>
            <w:gridSpan w:val="2"/>
            <w:tcBorders>
              <w:bottom w:val="nil"/>
            </w:tcBorders>
            <w:shd w:val="clear" w:color="auto" w:fill="1A365D"/>
          </w:tcPr>
          <w:p>
            <w:pPr>
              <w:pStyle w:val="TableParagraph"/>
              <w:spacing w:before="51"/>
              <w:ind w:left="40"/>
              <w:rPr>
                <w:b/>
                <w:sz w:val="20"/>
              </w:rPr>
            </w:pPr>
            <w:r>
              <w:rPr>
                <w:b/>
                <w:sz w:val="20"/>
              </w:rPr>
              <mc:AlternateContent>
                <mc:Choice Requires="wpg">
                  <w:drawing>
                    <wp:anchor distT="0" distB="0" distL="0" distR="0" simplePos="0" relativeHeight="251664384" behindDoc="0" locked="0" layoutInCell="1" allowOverlap="1">
                      <wp:simplePos x="0" y="0"/>
                      <wp:positionH relativeFrom="column">
                        <wp:posOffset>9906</wp:posOffset>
                      </wp:positionH>
                      <wp:positionV relativeFrom="paragraph">
                        <wp:posOffset>218047</wp:posOffset>
                      </wp:positionV>
                      <wp:extent cx="340360" cy="192405"/>
                      <wp:effectExtent l="0" t="0" r="0" b="0"/>
                      <wp:wrapNone/>
                      <wp:docPr id="6" name="Group 6"/>
                      <wp:cNvGraphicFramePr/>
                      <a:graphic xmlns:a="http://schemas.openxmlformats.org/drawingml/2006/main">
                        <a:graphicData uri="http://schemas.microsoft.com/office/word/2010/wordprocessingGroup">
                          <wpg:wgp xmlns:wpg="http://schemas.microsoft.com/office/word/2010/wordprocessingGroup">
                            <wpg:cNvGrpSpPr/>
                            <wpg:grpSpPr>
                              <a:xfrm>
                                <a:off x="0" y="0"/>
                                <a:ext cx="340360" cy="192405"/>
                                <a:chOff x="0" y="0"/>
                                <a:chExt cx="340360" cy="192405"/>
                              </a:xfrm>
                            </wpg:grpSpPr>
                            <pic:pic xmlns:pic="http://schemas.openxmlformats.org/drawingml/2006/picture">
                              <pic:nvPicPr>
                                <pic:cNvPr id="7" name="Image 7"/>
                                <pic:cNvPicPr/>
                              </pic:nvPicPr>
                              <pic:blipFill>
                                <a:blip xmlns:r="http://schemas.openxmlformats.org/officeDocument/2006/relationships" r:embed="rId6" cstate="print"/>
                                <a:stretch>
                                  <a:fillRect/>
                                </a:stretch>
                              </pic:blipFill>
                              <pic:spPr>
                                <a:xfrm>
                                  <a:off x="0" y="0"/>
                                  <a:ext cx="339851" cy="192023"/>
                                </a:xfrm>
                                <a:prstGeom prst="rect">
                                  <a:avLst/>
                                </a:prstGeom>
                              </pic:spPr>
                            </pic:pic>
                          </wpg:wgp>
                        </a:graphicData>
                      </a:graphic>
                    </wp:anchor>
                  </w:drawing>
                </mc:Choice>
                <mc:Fallback>
                  <w:pict>
                    <v:group id="_x0000_s1026" style="width:26.8pt;height:15.15pt;margin-top:17.17pt;margin-left:0.78pt;position:absolute;z-index:251665408" coordorigin="16,343" coordsize="536,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width:536;height:303;left:15;position:absolute;top:343" stroked="f">
                        <v:imagedata r:id="rId6" o:title=""/>
                      </v:shape>
                    </v:group>
                  </w:pict>
                </mc:Fallback>
              </mc:AlternateContent>
            </w:r>
            <w:r>
              <w:rPr>
                <w:b/>
                <w:color w:val="FFFFFF"/>
                <w:sz w:val="19"/>
              </w:rPr>
              <w:t>Questo prodotto finanziario ha un obiettivo di investimento sostenibile?</w:t>
            </w:r>
          </w:p>
          <w:p>
            <w:pPr>
              <w:pStyle w:val="TableParagraph"/>
              <w:tabs>
                <w:tab w:val="left" w:pos="4122"/>
                <w:tab w:val="left" w:pos="5240"/>
              </w:tabs>
              <w:spacing w:before="63"/>
              <w:ind w:left="1103"/>
              <w:rPr>
                <w:sz w:val="20"/>
              </w:rPr>
            </w:pPr>
            <w:r>
              <w:rPr>
                <w:sz w:val="20"/>
              </w:rPr>
              <mc:AlternateContent>
                <mc:Choice Requires="wpg">
                  <w:drawing>
                    <wp:anchor distT="0" distB="0" distL="0" distR="0" simplePos="0" relativeHeight="251662336" behindDoc="0" locked="0" layoutInCell="1" allowOverlap="1">
                      <wp:simplePos x="0" y="0"/>
                      <wp:positionH relativeFrom="column">
                        <wp:posOffset>436626</wp:posOffset>
                      </wp:positionH>
                      <wp:positionV relativeFrom="paragraph">
                        <wp:posOffset>90804</wp:posOffset>
                      </wp:positionV>
                      <wp:extent cx="90170" cy="91440"/>
                      <wp:effectExtent l="0" t="0" r="0" b="0"/>
                      <wp:wrapNone/>
                      <wp:docPr id="8" name="Group 8"/>
                      <wp:cNvGraphicFramePr/>
                      <a:graphic xmlns:a="http://schemas.openxmlformats.org/drawingml/2006/main">
                        <a:graphicData uri="http://schemas.microsoft.com/office/word/2010/wordprocessingGroup">
                          <wpg:wgp xmlns:wpg="http://schemas.microsoft.com/office/word/2010/wordprocessingGroup">
                            <wpg:cNvGrpSpPr/>
                            <wpg:grpSpPr>
                              <a:xfrm>
                                <a:off x="0" y="0"/>
                                <a:ext cx="90170" cy="91440"/>
                                <a:chOff x="0" y="0"/>
                                <a:chExt cx="90170" cy="91440"/>
                              </a:xfrm>
                            </wpg:grpSpPr>
                            <wps:wsp xmlns:wps="http://schemas.microsoft.com/office/word/2010/wordprocessingShape">
                              <wps:cNvPr id="9" name="Graphic 9"/>
                              <wps:cNvSpPr/>
                              <wps:spPr>
                                <a:xfrm>
                                  <a:off x="0"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FFFFFF"/>
                                </a:solidFill>
                              </wps:spPr>
                              <wps:bodyPr wrap="square" lIns="0" tIns="0" rIns="0" bIns="0" rtlCol="0">
                                <a:prstTxWarp prst="textNoShape">
                                  <a:avLst/>
                                </a:prstTxWarp>
                              </wps:bodyPr>
                            </wps:wsp>
                          </wpg:wgp>
                        </a:graphicData>
                      </a:graphic>
                    </wp:anchor>
                  </w:drawing>
                </mc:Choice>
                <mc:Fallback>
                  <w:pict>
                    <v:group id="_x0000_s1028" style="width:7.1pt;height:7.2pt;margin-top:7.15pt;margin-left:34.38pt;position:absolute;z-index:251663360" coordorigin="688,143" coordsize="142,144">
                      <v:shape id="_x0000_s1029" style="width:142;height:144;left:687;position:absolute;top:143" coordorigin="688,143" coordsize="142,144" path="m829,143l812,143,812,159,812,269,704,269,704,159,812,159,812,143,688,143,688,159,688,269,688,287,829,287,829,269,829,269,829,159,829,143xe" filled="t" fillcolor="white" stroked="f">
                        <v:fill type="solid"/>
                        <v:path arrowok="t"/>
                      </v:shape>
                    </v:group>
                  </w:pict>
                </mc:Fallback>
              </mc:AlternateContent>
            </w:r>
            <w:r>
              <w:rPr>
                <w:color w:val="FFFFFF"/>
                <w:spacing w:val="-5"/>
                <w:w w:val="105"/>
                <w:sz w:val="19"/>
              </w:rPr>
              <w:t>Sì</w:t>
            </w:r>
            <w:r>
              <w:rPr>
                <w:color w:val="FFFFFF"/>
                <w:sz w:val="19"/>
              </w:rPr>
              <w:tab/>
            </w:r>
            <w:r>
              <w:rPr>
                <w:color w:val="FFFFFF"/>
                <w:position w:val="-6"/>
                <w:sz w:val="20"/>
              </w:rPr>
              <w:drawing>
                <wp:inline distT="0" distB="0" distL="0" distR="0">
                  <wp:extent cx="344424" cy="190499"/>
                  <wp:effectExtent l="0" t="0" r="0" b="0"/>
                  <wp:docPr id="10" name="Image 10"/>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xmlns:r="http://schemas.openxmlformats.org/officeDocument/2006/relationships" r:embed="rId7" cstate="print"/>
                          <a:stretch>
                            <a:fillRect/>
                          </a:stretch>
                        </pic:blipFill>
                        <pic:spPr>
                          <a:xfrm>
                            <a:off x="0" y="0"/>
                            <a:ext cx="344424" cy="190499"/>
                          </a:xfrm>
                          <a:prstGeom prst="rect">
                            <a:avLst/>
                          </a:prstGeom>
                        </pic:spPr>
                      </pic:pic>
                    </a:graphicData>
                  </a:graphic>
                </wp:inline>
              </w:drawing>
            </w:r>
            <w:r>
              <w:rPr>
                <w:color w:val="FFFFFF"/>
                <w:spacing w:val="6"/>
                <w:position w:val="1"/>
                <w:sz w:val="20"/>
              </w:rPr>
              <w:drawing>
                <wp:inline distT="0" distB="0" distL="0" distR="0">
                  <wp:extent cx="89916" cy="91440"/>
                  <wp:effectExtent l="0" t="0" r="0" b="0"/>
                  <wp:docPr id="11" name="Image 11"/>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xmlns:r="http://schemas.openxmlformats.org/officeDocument/2006/relationships" r:embed="rId8" cstate="print"/>
                          <a:stretch>
                            <a:fillRect/>
                          </a:stretch>
                        </pic:blipFill>
                        <pic:spPr>
                          <a:xfrm>
                            <a:off x="0" y="0"/>
                            <a:ext cx="89916" cy="91440"/>
                          </a:xfrm>
                          <a:prstGeom prst="rect">
                            <a:avLst/>
                          </a:prstGeom>
                        </pic:spPr>
                      </pic:pic>
                    </a:graphicData>
                  </a:graphic>
                </wp:inline>
              </w:drawing>
            </w:r>
            <w:r>
              <w:rPr>
                <w:color w:val="FFFFFF"/>
                <w:sz w:val="19"/>
              </w:rPr>
              <w:tab/>
            </w:r>
            <w:r>
              <w:rPr>
                <w:color w:val="FFFFFF"/>
                <w:spacing w:val="-5"/>
                <w:w w:val="105"/>
                <w:sz w:val="19"/>
              </w:rPr>
              <w:t xml:space="preserve"> No</w:t>
            </w:r>
          </w:p>
        </w:tc>
      </w:tr>
      <w:tr>
        <w:tblPrEx>
          <w:tblW w:w="0" w:type="auto"/>
          <w:tblInd w:w="2357" w:type="dxa"/>
          <w:tblLayout w:type="fixed"/>
          <w:tblLook w:val="01E0"/>
        </w:tblPrEx>
        <w:trPr>
          <w:trHeight w:val="4558"/>
        </w:trPr>
        <w:tc>
          <w:tcPr>
            <w:tcW w:w="4140" w:type="dxa"/>
            <w:tcBorders>
              <w:top w:val="nil"/>
            </w:tcBorders>
          </w:tcPr>
          <w:p>
            <w:pPr>
              <w:pStyle w:val="TableParagraph"/>
              <w:spacing w:before="41"/>
              <w:rPr>
                <w:sz w:val="20"/>
              </w:rPr>
            </w:pPr>
          </w:p>
          <w:p>
            <w:pPr>
              <w:pStyle w:val="TableParagraph"/>
              <w:spacing w:line="254" w:lineRule="auto"/>
              <w:ind w:left="433"/>
              <w:rPr>
                <w:sz w:val="20"/>
              </w:rPr>
            </w:pPr>
            <w:r>
              <w:rPr>
                <w:sz w:val="20"/>
              </w:rPr>
              <mc:AlternateContent>
                <mc:Choice Requires="wpg">
                  <w:drawing>
                    <wp:anchor distT="0" distB="0" distL="0" distR="0" simplePos="0" relativeHeight="251695104" behindDoc="1" locked="0" layoutInCell="1" allowOverlap="1">
                      <wp:simplePos x="0" y="0"/>
                      <wp:positionH relativeFrom="column">
                        <wp:posOffset>38861</wp:posOffset>
                      </wp:positionH>
                      <wp:positionV relativeFrom="paragraph">
                        <wp:posOffset>184665</wp:posOffset>
                      </wp:positionV>
                      <wp:extent cx="90170" cy="91440"/>
                      <wp:effectExtent l="0" t="0" r="0" b="0"/>
                      <wp:wrapNone/>
                      <wp:docPr id="12" name="Group 12"/>
                      <wp:cNvGraphicFramePr/>
                      <a:graphic xmlns:a="http://schemas.openxmlformats.org/drawingml/2006/main">
                        <a:graphicData uri="http://schemas.microsoft.com/office/word/2010/wordprocessingGroup">
                          <wpg:wgp xmlns:wpg="http://schemas.microsoft.com/office/word/2010/wordprocessingGroup">
                            <wpg:cNvGrpSpPr/>
                            <wpg:grpSpPr>
                              <a:xfrm>
                                <a:off x="0" y="0"/>
                                <a:ext cx="90170" cy="91440"/>
                                <a:chOff x="0" y="0"/>
                                <a:chExt cx="90170" cy="91440"/>
                              </a:xfrm>
                            </wpg:grpSpPr>
                            <wps:wsp xmlns:wps="http://schemas.microsoft.com/office/word/2010/wordprocessingShape">
                              <wps:cNvPr id="13" name="Graphic 13"/>
                              <wps:cNvSpPr/>
                              <wps:spPr>
                                <a:xfrm>
                                  <a:off x="-12"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_x0000_s1030" style="width:7.1pt;height:7.2pt;margin-top:14.54pt;margin-left:3.06pt;position:absolute;z-index:-251620352" coordorigin="61,291" coordsize="142,144">
                      <v:shape id="_x0000_s1031" style="width:142;height:144;left:61;position:absolute;top:290" coordorigin="61,291" coordsize="142,144" path="m203,291l186,291,186,307,186,417,78,417,78,307,186,307,186,291,61,291,61,307,61,417,61,435,203,435,203,417,203,417,203,307,203,291xe" filled="t" fillcolor="black" stroked="f">
                        <v:fill type="solid"/>
                        <v:path arrowok="t"/>
                      </v:shape>
                    </v:group>
                  </w:pict>
                </mc:Fallback>
              </mc:AlternateContent>
            </w:r>
            <w:r>
              <w:rPr>
                <w:w w:val="105"/>
                <w:sz w:val="19"/>
              </w:rPr>
              <w:t xml:space="preserve">Effettuerà una quota minima di </w:t>
            </w:r>
            <w:r>
              <w:rPr>
                <w:b/>
                <w:color w:val="3382A8"/>
                <w:w w:val="105"/>
                <w:sz w:val="19"/>
              </w:rPr>
              <w:t>investimenti sostenibili con un obiettivo ambientale:</w:t>
            </w:r>
            <w:r>
              <w:rPr>
                <w:sz w:val="19"/>
                <w:u w:val="single"/>
              </w:rPr>
              <w:t xml:space="preserve">  </w:t>
            </w:r>
            <w:r>
              <w:rPr>
                <w:w w:val="105"/>
                <w:sz w:val="19"/>
              </w:rPr>
              <w:t xml:space="preserve"> %</w:t>
            </w:r>
          </w:p>
          <w:p>
            <w:pPr>
              <w:pStyle w:val="TableParagraph"/>
              <w:rPr>
                <w:sz w:val="20"/>
              </w:rPr>
            </w:pPr>
          </w:p>
          <w:p>
            <w:pPr>
              <w:pStyle w:val="TableParagraph"/>
              <w:spacing w:before="2"/>
              <w:rPr>
                <w:sz w:val="20"/>
              </w:rPr>
            </w:pPr>
          </w:p>
          <w:p>
            <w:pPr>
              <w:pStyle w:val="TableParagraph"/>
              <w:spacing w:line="261" w:lineRule="auto"/>
              <w:ind w:left="858"/>
              <w:rPr>
                <w:sz w:val="20"/>
              </w:rPr>
            </w:pPr>
            <w:r>
              <w:rPr>
                <w:sz w:val="20"/>
              </w:rPr>
              <mc:AlternateContent>
                <mc:Choice Requires="wpg">
                  <w:drawing>
                    <wp:anchor distT="0" distB="0" distL="0" distR="0" simplePos="0" relativeHeight="251697152" behindDoc="1" locked="0" layoutInCell="1" allowOverlap="1">
                      <wp:simplePos x="0" y="0"/>
                      <wp:positionH relativeFrom="column">
                        <wp:posOffset>288797</wp:posOffset>
                      </wp:positionH>
                      <wp:positionV relativeFrom="paragraph">
                        <wp:posOffset>186153</wp:posOffset>
                      </wp:positionV>
                      <wp:extent cx="90170" cy="91440"/>
                      <wp:effectExtent l="0" t="0" r="0" b="0"/>
                      <wp:wrapNone/>
                      <wp:docPr id="14" name="Group 14"/>
                      <wp:cNvGraphicFramePr/>
                      <a:graphic xmlns:a="http://schemas.openxmlformats.org/drawingml/2006/main">
                        <a:graphicData uri="http://schemas.microsoft.com/office/word/2010/wordprocessingGroup">
                          <wpg:wgp xmlns:wpg="http://schemas.microsoft.com/office/word/2010/wordprocessingGroup">
                            <wpg:cNvGrpSpPr/>
                            <wpg:grpSpPr>
                              <a:xfrm>
                                <a:off x="0" y="0"/>
                                <a:ext cx="90170" cy="91440"/>
                                <a:chOff x="0" y="0"/>
                                <a:chExt cx="90170" cy="91440"/>
                              </a:xfrm>
                            </wpg:grpSpPr>
                            <wps:wsp xmlns:wps="http://schemas.microsoft.com/office/word/2010/wordprocessingShape">
                              <wps:cNvPr id="15" name="Graphic 15"/>
                              <wps:cNvSpPr/>
                              <wps:spPr>
                                <a:xfrm>
                                  <a:off x="0"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_x0000_s1032" style="width:7.1pt;height:7.2pt;margin-top:14.66pt;margin-left:22.74pt;position:absolute;z-index:-251618304" coordorigin="455,293" coordsize="142,144">
                      <v:shape id="_x0000_s1033" style="width:142;height:144;left:454;position:absolute;top:293" coordorigin="455,293" coordsize="142,144" path="m596,293l580,293,580,309,580,419,472,419,472,309,580,309,580,293,455,293,455,309,455,419,455,437,596,437,596,420,596,419,596,309,596,293xe" filled="t" fillcolor="black" stroked="f">
                        <v:fill type="solid"/>
                        <v:path arrowok="t"/>
                      </v:shape>
                    </v:group>
                  </w:pict>
                </mc:Fallback>
              </mc:AlternateContent>
            </w:r>
            <w:r>
              <w:rPr>
                <w:w w:val="110"/>
                <w:sz w:val="19"/>
              </w:rPr>
              <w:t>in attività economiche che rientrano nella classificazione di sostenibilità ambientale secondo la Tassonomia dell’UE</w:t>
            </w:r>
          </w:p>
          <w:p>
            <w:pPr>
              <w:pStyle w:val="TableParagraph"/>
              <w:spacing w:before="90"/>
              <w:rPr>
                <w:sz w:val="20"/>
              </w:rPr>
            </w:pPr>
          </w:p>
          <w:p>
            <w:pPr>
              <w:pStyle w:val="TableParagraph"/>
              <w:spacing w:before="1" w:line="261" w:lineRule="auto"/>
              <w:ind w:left="858"/>
              <w:rPr>
                <w:sz w:val="20"/>
              </w:rPr>
            </w:pPr>
            <w:r>
              <w:rPr>
                <w:sz w:val="20"/>
              </w:rPr>
              <mc:AlternateContent>
                <mc:Choice Requires="wpg">
                  <w:drawing>
                    <wp:anchor distT="0" distB="0" distL="0" distR="0" simplePos="0" relativeHeight="251699200" behindDoc="1" locked="0" layoutInCell="1" allowOverlap="1">
                      <wp:simplePos x="0" y="0"/>
                      <wp:positionH relativeFrom="column">
                        <wp:posOffset>288797</wp:posOffset>
                      </wp:positionH>
                      <wp:positionV relativeFrom="paragraph">
                        <wp:posOffset>186846</wp:posOffset>
                      </wp:positionV>
                      <wp:extent cx="90170" cy="91440"/>
                      <wp:effectExtent l="0" t="0" r="0" b="0"/>
                      <wp:wrapNone/>
                      <wp:docPr id="16" name="Group 16"/>
                      <wp:cNvGraphicFramePr/>
                      <a:graphic xmlns:a="http://schemas.openxmlformats.org/drawingml/2006/main">
                        <a:graphicData uri="http://schemas.microsoft.com/office/word/2010/wordprocessingGroup">
                          <wpg:wgp xmlns:wpg="http://schemas.microsoft.com/office/word/2010/wordprocessingGroup">
                            <wpg:cNvGrpSpPr/>
                            <wpg:grpSpPr>
                              <a:xfrm>
                                <a:off x="0" y="0"/>
                                <a:ext cx="90170" cy="91440"/>
                                <a:chOff x="0" y="0"/>
                                <a:chExt cx="90170" cy="91440"/>
                              </a:xfrm>
                            </wpg:grpSpPr>
                            <wps:wsp xmlns:wps="http://schemas.microsoft.com/office/word/2010/wordprocessingShape">
                              <wps:cNvPr id="17" name="Graphic 17"/>
                              <wps:cNvSpPr/>
                              <wps:spPr>
                                <a:xfrm>
                                  <a:off x="0"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_x0000_s1034" style="width:7.1pt;height:7.2pt;margin-top:14.71pt;margin-left:22.74pt;position:absolute;z-index:-251616256" coordorigin="455,294" coordsize="142,144">
                      <v:shape id="_x0000_s1035" style="width:142;height:144;left:454;position:absolute;top:294" coordorigin="455,294" coordsize="142,144" path="m596,294l580,294,580,310,580,420,472,420,472,310,580,310,580,294,455,294,455,310,455,420,455,438,596,438,596,421,596,420,596,310,596,294xe" filled="t" fillcolor="black" stroked="f">
                        <v:fill type="solid"/>
                        <v:path arrowok="t"/>
                      </v:shape>
                    </v:group>
                  </w:pict>
                </mc:Fallback>
              </mc:AlternateContent>
            </w:r>
            <w:r>
              <w:rPr>
                <w:w w:val="110"/>
                <w:sz w:val="19"/>
              </w:rPr>
              <w:t>in attività economiche che non sono considerate sostenibili dal punto di vista ambientale ai sensi della Tassonomia dell’UE</w:t>
            </w:r>
          </w:p>
          <w:p>
            <w:pPr>
              <w:pStyle w:val="TableParagraph"/>
              <w:rPr>
                <w:sz w:val="20"/>
              </w:rPr>
            </w:pPr>
          </w:p>
          <w:p>
            <w:pPr>
              <w:pStyle w:val="TableParagraph"/>
              <w:spacing w:before="186"/>
              <w:rPr>
                <w:sz w:val="20"/>
              </w:rPr>
            </w:pPr>
          </w:p>
          <w:p>
            <w:pPr>
              <w:pStyle w:val="TableParagraph"/>
              <w:spacing w:line="182" w:lineRule="auto"/>
              <w:ind w:left="433"/>
              <w:rPr>
                <w:sz w:val="20"/>
              </w:rPr>
            </w:pPr>
            <w:r>
              <w:rPr>
                <w:sz w:val="20"/>
              </w:rPr>
              <mc:AlternateContent>
                <mc:Choice Requires="wpg">
                  <w:drawing>
                    <wp:anchor distT="0" distB="0" distL="0" distR="0" simplePos="0" relativeHeight="251701248" behindDoc="1" locked="0" layoutInCell="1" allowOverlap="1">
                      <wp:simplePos x="0" y="0"/>
                      <wp:positionH relativeFrom="column">
                        <wp:posOffset>38861</wp:posOffset>
                      </wp:positionH>
                      <wp:positionV relativeFrom="paragraph">
                        <wp:posOffset>-792</wp:posOffset>
                      </wp:positionV>
                      <wp:extent cx="90170" cy="91440"/>
                      <wp:effectExtent l="0" t="0" r="0" b="0"/>
                      <wp:wrapNone/>
                      <wp:docPr id="18" name="Group 18"/>
                      <wp:cNvGraphicFramePr/>
                      <a:graphic xmlns:a="http://schemas.openxmlformats.org/drawingml/2006/main">
                        <a:graphicData uri="http://schemas.microsoft.com/office/word/2010/wordprocessingGroup">
                          <wpg:wgp xmlns:wpg="http://schemas.microsoft.com/office/word/2010/wordprocessingGroup">
                            <wpg:cNvGrpSpPr/>
                            <wpg:grpSpPr>
                              <a:xfrm>
                                <a:off x="0" y="0"/>
                                <a:ext cx="90170" cy="91440"/>
                                <a:chOff x="0" y="0"/>
                                <a:chExt cx="90170" cy="91440"/>
                              </a:xfrm>
                            </wpg:grpSpPr>
                            <wps:wsp xmlns:wps="http://schemas.microsoft.com/office/word/2010/wordprocessingShape">
                              <wps:cNvPr id="19" name="Graphic 19"/>
                              <wps:cNvSpPr/>
                              <wps:spPr>
                                <a:xfrm>
                                  <a:off x="-12"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_x0000_s1036" style="width:7.1pt;height:7.2pt;margin-top:-0.06pt;margin-left:3.06pt;position:absolute;z-index:-251614208" coordorigin="61,-1" coordsize="142,144">
                      <v:shape id="_x0000_s1037" style="width:142;height:144;left:61;position:absolute;top:-2" coordorigin="61,-1" coordsize="142,144" path="m203,-1l186,-1,186,15,186,125,78,125,78,15,186,15,186,-1,61,-1,61,15,61,125,61,143,203,143,203,125,203,125,203,15,203,-1xe" filled="t" fillcolor="black" stroked="f">
                        <v:fill type="solid"/>
                        <v:path arrowok="t"/>
                      </v:shape>
                    </v:group>
                  </w:pict>
                </mc:Fallback>
              </mc:AlternateContent>
            </w:r>
            <w:r>
              <w:rPr>
                <w:w w:val="110"/>
                <w:sz w:val="19"/>
              </w:rPr>
              <w:t xml:space="preserve">Effettuerà una quota minima di </w:t>
            </w:r>
            <w:r>
              <w:rPr>
                <w:b/>
                <w:color w:val="3382A8"/>
                <w:w w:val="110"/>
                <w:sz w:val="19"/>
              </w:rPr>
              <w:t>investimenti sostenibili con un obiettivo sociale:</w:t>
            </w:r>
            <w:r>
              <w:rPr>
                <w:sz w:val="19"/>
                <w:u w:val="single"/>
              </w:rPr>
              <w:t xml:space="preserve">  </w:t>
            </w:r>
            <w:r>
              <w:rPr>
                <w:w w:val="110"/>
                <w:sz w:val="19"/>
              </w:rPr>
              <w:t xml:space="preserve"> %</w:t>
            </w:r>
          </w:p>
        </w:tc>
        <w:tc>
          <w:tcPr>
            <w:tcW w:w="4615" w:type="dxa"/>
            <w:tcBorders>
              <w:top w:val="nil"/>
            </w:tcBorders>
          </w:tcPr>
          <w:p>
            <w:pPr>
              <w:pStyle w:val="TableParagraph"/>
              <w:spacing w:before="19" w:line="259" w:lineRule="auto"/>
              <w:ind w:left="436" w:right="203"/>
              <w:rPr>
                <w:sz w:val="20"/>
              </w:rPr>
            </w:pPr>
            <w:r>
              <w:rPr>
                <w:sz w:val="20"/>
              </w:rPr>
              <mc:AlternateContent>
                <mc:Choice Requires="wpg">
                  <w:drawing>
                    <wp:anchor distT="0" distB="0" distL="0" distR="0" simplePos="0" relativeHeight="251703296" behindDoc="1" locked="0" layoutInCell="1" allowOverlap="1">
                      <wp:simplePos x="0" y="0"/>
                      <wp:positionH relativeFrom="column">
                        <wp:posOffset>38861</wp:posOffset>
                      </wp:positionH>
                      <wp:positionV relativeFrom="paragraph">
                        <wp:posOffset>355172</wp:posOffset>
                      </wp:positionV>
                      <wp:extent cx="2019300" cy="274320"/>
                      <wp:effectExtent l="0" t="0" r="0" b="0"/>
                      <wp:wrapNone/>
                      <wp:docPr id="20" name="Group 20"/>
                      <wp:cNvGraphicFramePr/>
                      <a:graphic xmlns:a="http://schemas.openxmlformats.org/drawingml/2006/main">
                        <a:graphicData uri="http://schemas.microsoft.com/office/word/2010/wordprocessingGroup">
                          <wpg:wgp xmlns:wpg="http://schemas.microsoft.com/office/word/2010/wordprocessingGroup">
                            <wpg:cNvGrpSpPr/>
                            <wpg:grpSpPr>
                              <a:xfrm>
                                <a:off x="0" y="0"/>
                                <a:ext cx="2019300" cy="274320"/>
                                <a:chOff x="0" y="0"/>
                                <a:chExt cx="2019300" cy="274320"/>
                              </a:xfrm>
                            </wpg:grpSpPr>
                            <wps:wsp xmlns:wps="http://schemas.microsoft.com/office/word/2010/wordprocessingShape">
                              <wps:cNvPr id="21" name="Graphic 21"/>
                              <wps:cNvSpPr/>
                              <wps:spPr>
                                <a:xfrm>
                                  <a:off x="-12" y="0"/>
                                  <a:ext cx="2019935" cy="274320"/>
                                </a:xfrm>
                                <a:custGeom>
                                  <a:avLst/>
                                  <a:gdLst/>
                                  <a:rect l="l" t="t" r="r" b="b"/>
                                  <a:pathLst>
                                    <a:path fill="norm" h="274320" w="2019935"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 fill="norm" h="274320" w="2019935" stroke="1">
                                      <a:moveTo>
                                        <a:pt x="2019312" y="264668"/>
                                      </a:moveTo>
                                      <a:lnTo>
                                        <a:pt x="1985772" y="264668"/>
                                      </a:lnTo>
                                      <a:lnTo>
                                        <a:pt x="1985772" y="273812"/>
                                      </a:lnTo>
                                      <a:lnTo>
                                        <a:pt x="2019312" y="273812"/>
                                      </a:lnTo>
                                      <a:lnTo>
                                        <a:pt x="2019312" y="264668"/>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_x0000_s1038" style="width:159pt;height:21.6pt;margin-top:27.97pt;margin-left:3.06pt;position:absolute;z-index:-251612160" coordorigin="61,559" coordsize="3180,432">
                      <v:shape id="_x0000_s1039" style="width:3181;height:432;left:61;position:absolute;top:559" coordorigin="61,559" coordsize="3181,432" path="m203,559l186,559,186,575,186,685,78,685,78,575,186,575,186,559,61,559,61,575,61,685,61,703,203,703,203,686,203,685,203,575,203,559xm3241,976l3188,976,3188,991,3241,991,3241,976xe" filled="t" fillcolor="black" stroked="f">
                        <v:fill type="solid"/>
                        <v:path arrowok="t"/>
                      </v:shape>
                    </v:group>
                  </w:pict>
                </mc:Fallback>
              </mc:AlternateContent>
            </w:r>
            <w:r>
              <w:rPr>
                <w:b/>
                <w:color w:val="3382A8"/>
                <w:w w:val="105"/>
                <w:sz w:val="19"/>
              </w:rPr>
              <w:t xml:space="preserve">Promuove caratteristiche ambientali/sociali (E/S) </w:t>
            </w:r>
            <w:r>
              <w:rPr>
                <w:w w:val="105"/>
                <w:sz w:val="19"/>
              </w:rPr>
              <w:t>e, pur non avendo come obiettivo un investimento sostenibile, destinerà una quota minima pari al % degli investimenti a investimenti sostenibili</w:t>
            </w:r>
          </w:p>
          <w:p>
            <w:pPr>
              <w:pStyle w:val="TableParagraph"/>
              <w:spacing w:before="78" w:line="225" w:lineRule="exact"/>
              <w:ind w:left="863"/>
              <w:rPr>
                <w:sz w:val="20"/>
              </w:rPr>
            </w:pPr>
            <w:r>
              <w:rPr>
                <w:w w:val="110"/>
                <w:sz w:val="19"/>
              </w:rPr>
              <w:t>con un obiettivo ambientale in</w:t>
            </w:r>
          </w:p>
          <w:p>
            <w:pPr>
              <w:pStyle w:val="TableParagraph"/>
              <w:spacing w:before="43" w:line="180" w:lineRule="auto"/>
              <w:ind w:left="863" w:right="203"/>
              <w:rPr>
                <w:sz w:val="20"/>
              </w:rPr>
            </w:pPr>
            <w:r>
              <w:rPr>
                <w:sz w:val="20"/>
              </w:rPr>
              <mc:AlternateContent>
                <mc:Choice Requires="wpg">
                  <w:drawing>
                    <wp:anchor distT="0" distB="0" distL="0" distR="0" simplePos="0" relativeHeight="251705344" behindDoc="1" locked="0" layoutInCell="1" allowOverlap="1">
                      <wp:simplePos x="0" y="0"/>
                      <wp:positionH relativeFrom="column">
                        <wp:posOffset>290321</wp:posOffset>
                      </wp:positionH>
                      <wp:positionV relativeFrom="paragraph">
                        <wp:posOffset>101529</wp:posOffset>
                      </wp:positionV>
                      <wp:extent cx="90170" cy="91440"/>
                      <wp:effectExtent l="0" t="0" r="0" b="0"/>
                      <wp:wrapNone/>
                      <wp:docPr id="22" name="Group 22"/>
                      <wp:cNvGraphicFramePr/>
                      <a:graphic xmlns:a="http://schemas.openxmlformats.org/drawingml/2006/main">
                        <a:graphicData uri="http://schemas.microsoft.com/office/word/2010/wordprocessingGroup">
                          <wpg:wgp xmlns:wpg="http://schemas.microsoft.com/office/word/2010/wordprocessingGroup">
                            <wpg:cNvGrpSpPr/>
                            <wpg:grpSpPr>
                              <a:xfrm>
                                <a:off x="0" y="0"/>
                                <a:ext cx="90170" cy="91440"/>
                                <a:chOff x="0" y="0"/>
                                <a:chExt cx="90170" cy="91440"/>
                              </a:xfrm>
                            </wpg:grpSpPr>
                            <wps:wsp xmlns:wps="http://schemas.microsoft.com/office/word/2010/wordprocessingShape">
                              <wps:cNvPr id="23" name="Graphic 23"/>
                              <wps:cNvSpPr/>
                              <wps:spPr>
                                <a:xfrm>
                                  <a:off x="-12"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_x0000_s1040" style="width:7.1pt;height:7.2pt;margin-top:7.99pt;margin-left:22.86pt;position:absolute;z-index:-251610112" coordorigin="457,160" coordsize="142,144">
                      <v:shape id="_x0000_s1041" style="width:142;height:144;left:457;position:absolute;top:159" coordorigin="457,160" coordsize="142,144" path="m599,160l582,160,582,176,582,286,474,286,474,176,582,176,582,160,457,160,457,176,457,286,457,304,599,304,599,286,599,286,599,176,599,160xe" filled="t" fillcolor="black" stroked="f">
                        <v:fill type="solid"/>
                        <v:path arrowok="t"/>
                      </v:shape>
                    </v:group>
                  </w:pict>
                </mc:Fallback>
              </mc:AlternateContent>
            </w:r>
            <w:r>
              <w:rPr>
                <w:w w:val="110"/>
                <w:sz w:val="19"/>
              </w:rPr>
              <w:t>attività economiche che rientrano nella categoria delle attività sostenibili dal punto di vista ambientale secondo la</w:t>
            </w:r>
          </w:p>
          <w:p>
            <w:pPr>
              <w:pStyle w:val="TableParagraph"/>
              <w:spacing w:before="28"/>
              <w:ind w:left="863"/>
              <w:rPr>
                <w:sz w:val="20"/>
              </w:rPr>
            </w:pPr>
            <w:r>
              <w:rPr>
                <w:spacing w:val="-2"/>
                <w:sz w:val="19"/>
              </w:rPr>
              <w:t>Tassonomia dell’UE</w:t>
            </w:r>
          </w:p>
          <w:p>
            <w:pPr>
              <w:pStyle w:val="TableParagraph"/>
              <w:spacing w:before="137" w:line="196" w:lineRule="auto"/>
              <w:ind w:left="863"/>
              <w:rPr>
                <w:sz w:val="20"/>
              </w:rPr>
            </w:pPr>
            <w:r>
              <w:rPr>
                <w:w w:val="110"/>
                <w:sz w:val="19"/>
              </w:rPr>
              <w:t>con un obiettivo ambientale in attività economiche che non sono considerate sostenibili dal punto di vista ambientale ai sensi della</w:t>
            </w:r>
          </w:p>
          <w:p>
            <w:pPr>
              <w:pStyle w:val="TableParagraph"/>
              <w:spacing w:before="20"/>
              <w:ind w:left="863"/>
              <w:rPr>
                <w:sz w:val="20"/>
              </w:rPr>
            </w:pPr>
            <w:r>
              <w:rPr>
                <w:sz w:val="20"/>
              </w:rPr>
              <mc:AlternateContent>
                <mc:Choice Requires="wpg">
                  <w:drawing>
                    <wp:anchor distT="0" distB="0" distL="0" distR="0" simplePos="0" relativeHeight="251707392" behindDoc="1" locked="0" layoutInCell="1" allowOverlap="1">
                      <wp:simplePos x="0" y="0"/>
                      <wp:positionH relativeFrom="column">
                        <wp:posOffset>290321</wp:posOffset>
                      </wp:positionH>
                      <wp:positionV relativeFrom="paragraph">
                        <wp:posOffset>-145582</wp:posOffset>
                      </wp:positionV>
                      <wp:extent cx="90170" cy="91440"/>
                      <wp:effectExtent l="0" t="0" r="0" b="0"/>
                      <wp:wrapNone/>
                      <wp:docPr id="24" name="Group 24"/>
                      <wp:cNvGraphicFramePr/>
                      <a:graphic xmlns:a="http://schemas.openxmlformats.org/drawingml/2006/main">
                        <a:graphicData uri="http://schemas.microsoft.com/office/word/2010/wordprocessingGroup">
                          <wpg:wgp xmlns:wpg="http://schemas.microsoft.com/office/word/2010/wordprocessingGroup">
                            <wpg:cNvGrpSpPr/>
                            <wpg:grpSpPr>
                              <a:xfrm>
                                <a:off x="0" y="0"/>
                                <a:ext cx="90170" cy="91440"/>
                                <a:chOff x="0" y="0"/>
                                <a:chExt cx="90170" cy="91440"/>
                              </a:xfrm>
                            </wpg:grpSpPr>
                            <wps:wsp xmlns:wps="http://schemas.microsoft.com/office/word/2010/wordprocessingShape">
                              <wps:cNvPr id="25" name="Graphic 25"/>
                              <wps:cNvSpPr/>
                              <wps:spPr>
                                <a:xfrm>
                                  <a:off x="-12"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_x0000_s1042" style="width:7.1pt;height:7.2pt;margin-top:-11.46pt;margin-left:22.86pt;position:absolute;z-index:-251608064" coordorigin="457,-229" coordsize="142,144">
                      <v:shape id="_x0000_s1043" style="width:142;height:144;left:457;position:absolute;top:-230" coordorigin="457,-229" coordsize="142,144" path="m599,-229l582,-229,582,-213,582,-103,474,-103,474,-213,582,-213,582,-229,457,-229,457,-213,457,-103,457,-85,599,-85,599,-103,599,-103,599,-213,599,-229xe" filled="t" fillcolor="black" stroked="f">
                        <v:fill type="solid"/>
                        <v:path arrowok="t"/>
                      </v:shape>
                    </v:group>
                  </w:pict>
                </mc:Fallback>
              </mc:AlternateContent>
            </w:r>
            <w:r>
              <w:rPr>
                <w:spacing w:val="-2"/>
                <w:sz w:val="19"/>
              </w:rPr>
              <w:t>Tassonomia dell’UE</w:t>
            </w:r>
          </w:p>
          <w:p>
            <w:pPr>
              <w:pStyle w:val="TableParagraph"/>
              <w:spacing w:before="99"/>
              <w:ind w:left="863"/>
              <w:rPr>
                <w:sz w:val="20"/>
              </w:rPr>
            </w:pPr>
            <w:r>
              <w:rPr>
                <w:w w:val="110"/>
                <w:sz w:val="19"/>
              </w:rPr>
              <w:t>con un obiettivo sociale</w:t>
            </w:r>
          </w:p>
          <w:p>
            <w:pPr>
              <w:pStyle w:val="TableParagraph"/>
              <w:spacing w:before="211" w:line="254" w:lineRule="auto"/>
              <w:ind w:left="436" w:right="203"/>
              <w:rPr>
                <w:b/>
                <w:sz w:val="20"/>
              </w:rPr>
            </w:pPr>
            <w:r>
              <w:rPr>
                <w:b/>
                <w:sz w:val="20"/>
              </w:rPr>
              <mc:AlternateContent>
                <mc:Choice Requires="wpg">
                  <w:drawing>
                    <wp:anchor distT="0" distB="0" distL="0" distR="0" simplePos="0" relativeHeight="251709440" behindDoc="1" locked="0" layoutInCell="1" allowOverlap="1">
                      <wp:simplePos x="0" y="0"/>
                      <wp:positionH relativeFrom="column">
                        <wp:posOffset>290321</wp:posOffset>
                      </wp:positionH>
                      <wp:positionV relativeFrom="paragraph">
                        <wp:posOffset>-42546</wp:posOffset>
                      </wp:positionV>
                      <wp:extent cx="90170" cy="91440"/>
                      <wp:effectExtent l="0" t="0" r="0" b="0"/>
                      <wp:wrapNone/>
                      <wp:docPr id="26" name="Group 26"/>
                      <wp:cNvGraphicFramePr/>
                      <a:graphic xmlns:a="http://schemas.openxmlformats.org/drawingml/2006/main">
                        <a:graphicData uri="http://schemas.microsoft.com/office/word/2010/wordprocessingGroup">
                          <wpg:wgp xmlns:wpg="http://schemas.microsoft.com/office/word/2010/wordprocessingGroup">
                            <wpg:cNvGrpSpPr/>
                            <wpg:grpSpPr>
                              <a:xfrm>
                                <a:off x="0" y="0"/>
                                <a:ext cx="90170" cy="91440"/>
                                <a:chOff x="0" y="0"/>
                                <a:chExt cx="90170" cy="91440"/>
                              </a:xfrm>
                            </wpg:grpSpPr>
                            <wps:wsp xmlns:wps="http://schemas.microsoft.com/office/word/2010/wordprocessingShape">
                              <wps:cNvPr id="27" name="Graphic 27"/>
                              <wps:cNvSpPr/>
                              <wps:spPr>
                                <a:xfrm>
                                  <a:off x="-12"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_x0000_s1044" style="width:7.1pt;height:7.2pt;margin-top:-3.35pt;margin-left:22.86pt;position:absolute;z-index:-251606016" coordorigin="457,-67" coordsize="142,144">
                      <v:shape id="_x0000_s1045" style="width:142;height:144;left:457;position:absolute;top:-67" coordorigin="457,-67" coordsize="142,144" path="m599,-67l582,-67,582,-51,582,59,474,59,474,-51,582,-51,582,-67,457,-67,457,-51,457,59,457,77,599,77,599,59,599,59,599,-51,599,-67xe" filled="t" fillcolor="black" stroked="f">
                        <v:fill type="solid"/>
                        <v:path arrowok="t"/>
                      </v:shape>
                    </v:group>
                  </w:pict>
                </mc:Fallback>
              </mc:AlternateContent>
            </w:r>
            <w:r>
              <w:rPr>
                <w:b/>
                <w:sz w:val="20"/>
              </w:rPr>
              <mc:AlternateContent>
                <mc:Choice Requires="wpg">
                  <w:drawing>
                    <wp:anchor distT="0" distB="0" distL="0" distR="0" simplePos="0" relativeHeight="251711488" behindDoc="1" locked="0" layoutInCell="1" allowOverlap="1">
                      <wp:simplePos x="0" y="0"/>
                      <wp:positionH relativeFrom="column">
                        <wp:posOffset>38861</wp:posOffset>
                      </wp:positionH>
                      <wp:positionV relativeFrom="paragraph">
                        <wp:posOffset>237361</wp:posOffset>
                      </wp:positionV>
                      <wp:extent cx="91440" cy="91440"/>
                      <wp:effectExtent l="0" t="0" r="0" b="0"/>
                      <wp:wrapNone/>
                      <wp:docPr id="28" name="Group 28"/>
                      <wp:cNvGraphicFramePr/>
                      <a:graphic xmlns:a="http://schemas.openxmlformats.org/drawingml/2006/main">
                        <a:graphicData uri="http://schemas.microsoft.com/office/word/2010/wordprocessingGroup">
                          <wpg:wgp xmlns:wpg="http://schemas.microsoft.com/office/word/2010/wordprocessingGroup">
                            <wpg:cNvGrpSpPr/>
                            <wpg:grpSpPr>
                              <a:xfrm>
                                <a:off x="0" y="0"/>
                                <a:ext cx="91440" cy="91440"/>
                                <a:chOff x="0" y="0"/>
                                <a:chExt cx="91440" cy="91440"/>
                              </a:xfrm>
                            </wpg:grpSpPr>
                            <pic:pic xmlns:pic="http://schemas.openxmlformats.org/drawingml/2006/picture">
                              <pic:nvPicPr>
                                <pic:cNvPr id="29" name="Image 29"/>
                                <pic:cNvPicPr/>
                              </pic:nvPicPr>
                              <pic:blipFill>
                                <a:blip xmlns:r="http://schemas.openxmlformats.org/officeDocument/2006/relationships" r:embed="rId9" cstate="print"/>
                                <a:stretch>
                                  <a:fillRect/>
                                </a:stretch>
                              </pic:blipFill>
                              <pic:spPr>
                                <a:xfrm>
                                  <a:off x="0" y="0"/>
                                  <a:ext cx="92297" cy="92297"/>
                                </a:xfrm>
                                <a:prstGeom prst="rect">
                                  <a:avLst/>
                                </a:prstGeom>
                              </pic:spPr>
                            </pic:pic>
                          </wpg:wgp>
                        </a:graphicData>
                      </a:graphic>
                    </wp:anchor>
                  </w:drawing>
                </mc:Choice>
                <mc:Fallback>
                  <w:pict>
                    <v:group id="_x0000_s1046" style="width:7.2pt;height:7.2pt;margin-top:18.69pt;margin-left:3.06pt;position:absolute;z-index:-251603968" coordorigin="61,374" coordsize="144,144">
                      <v:shape id="_x0000_s1047" type="#_x0000_t75" style="width:146;height:146;left:61;position:absolute;top:373" stroked="f">
                        <v:imagedata r:id="rId9" o:title=""/>
                      </v:shape>
                    </v:group>
                  </w:pict>
                </mc:Fallback>
              </mc:AlternateContent>
            </w:r>
            <w:r>
              <w:rPr>
                <w:w w:val="110"/>
                <w:sz w:val="19"/>
              </w:rPr>
              <w:t xml:space="preserve">Promuove caratteristiche ambientali e sociali, </w:t>
            </w:r>
            <w:r>
              <w:rPr>
                <w:b/>
                <w:color w:val="3382A8"/>
                <w:w w:val="110"/>
                <w:sz w:val="19"/>
              </w:rPr>
              <w:t>ma non effettuerà alcun investimento sostenibile</w:t>
            </w:r>
          </w:p>
        </w:tc>
      </w:tr>
    </w:tbl>
    <w:p>
      <w:pPr>
        <w:pStyle w:val="Heading2"/>
        <w:spacing w:before="136"/>
        <w:ind w:left="48"/>
      </w:pPr>
      <w:r>
        <w:rPr>
          <w:b w:val="0"/>
          <w:position w:val="-28"/>
        </w:rPr>
        <w:drawing>
          <wp:inline distT="0" distB="0" distL="0" distR="0">
            <wp:extent cx="1345691" cy="469392"/>
            <wp:effectExtent l="0" t="0" r="0" b="0"/>
            <wp:docPr id="30" name="Image 30"/>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xmlns:r="http://schemas.openxmlformats.org/officeDocument/2006/relationships" r:embed="rId10" cstate="print"/>
                    <a:stretch>
                      <a:fillRect/>
                    </a:stretch>
                  </pic:blipFill>
                  <pic:spPr>
                    <a:xfrm>
                      <a:off x="0" y="0"/>
                      <a:ext cx="1345691" cy="469392"/>
                    </a:xfrm>
                    <a:prstGeom prst="rect">
                      <a:avLst/>
                    </a:prstGeom>
                  </pic:spPr>
                </pic:pic>
              </a:graphicData>
            </a:graphic>
          </wp:inline>
        </w:drawing>
      </w:r>
      <w:r>
        <w:rPr>
          <w:b w:val="0"/>
          <w:sz w:val="19"/>
        </w:rPr>
        <w:t xml:space="preserve"> </w:t>
      </w:r>
      <w:r>
        <w:rPr>
          <w:color w:val="1A365D"/>
          <w:w w:val="105"/>
          <w:sz w:val="19"/>
        </w:rPr>
        <w:t>Quali caratteristiche ambientali e/o sociali vengono promosse da questo prodotto finanziario?</w:t>
      </w:r>
    </w:p>
    <w:p>
      <w:pPr>
        <w:pStyle w:val="BodyText"/>
        <w:spacing w:before="194" w:line="259" w:lineRule="auto"/>
        <w:ind w:left="2383" w:right="888"/>
      </w:pPr>
      <w:r>
        <mc:AlternateContent>
          <mc:Choice Requires="wps">
            <w:drawing>
              <wp:anchor distT="0" distB="0" distL="0" distR="0" simplePos="0" relativeHeight="251658240" behindDoc="0" locked="0" layoutInCell="1" allowOverlap="1">
                <wp:simplePos x="0" y="0"/>
                <wp:positionH relativeFrom="page">
                  <wp:posOffset>38100</wp:posOffset>
                </wp:positionH>
                <wp:positionV relativeFrom="paragraph">
                  <wp:posOffset>91693</wp:posOffset>
                </wp:positionV>
                <wp:extent cx="1257300" cy="803275"/>
                <wp:effectExtent l="0" t="0" r="0" b="0"/>
                <wp:wrapNone/>
                <wp:docPr id="31" name="Textbox 31"/>
                <wp:cNvGraphicFramePr/>
                <a:graphic xmlns:a="http://schemas.openxmlformats.org/drawingml/2006/main">
                  <a:graphicData uri="http://schemas.microsoft.com/office/word/2010/wordprocessingShape">
                    <wps:wsp xmlns:wps="http://schemas.microsoft.com/office/word/2010/wordprocessingShape">
                      <wps:cNvSpPr txBox="1"/>
                      <wps:spPr>
                        <a:xfrm>
                          <a:off x="0" y="0"/>
                          <a:ext cx="1257300" cy="803275"/>
                        </a:xfrm>
                        <a:prstGeom prst="rect">
                          <a:avLst/>
                        </a:prstGeom>
                        <a:solidFill>
                          <a:srgbClr val="DBD8D6"/>
                        </a:solidFill>
                      </wps:spPr>
                      <wps:txbx>
                        <w:txbxContent>
                          <w:p>
                            <w:pPr>
                              <w:spacing w:before="47" w:line="259" w:lineRule="auto"/>
                              <w:ind w:left="40" w:right="135" w:firstLine="0"/>
                              <w:jc w:val="left"/>
                              <w:rPr>
                                <w:sz w:val="16"/>
                              </w:rPr>
                            </w:pPr>
                            <w:r>
                              <w:rPr>
                                <w:b/>
                                <w:color w:val="3382A8"/>
                                <w:spacing w:val="-2"/>
                                <w:w w:val="110"/>
                                <w:sz w:val="15"/>
                              </w:rPr>
                              <w:t xml:space="preserve">Gli indicatori di sostenibilità </w:t>
                            </w:r>
                            <w:r>
                              <w:rPr>
                                <w:w w:val="110"/>
                                <w:sz w:val="15"/>
                              </w:rPr>
                              <w:t>misurano in che misura vengono raggiunte le caratteristiche ambientali o sociali promosse dal prodotto finanziario.</w:t>
                            </w:r>
                          </w:p>
                        </w:txbxContent>
                      </wps:txbx>
                      <wps:bodyPr wrap="square" lIns="0" tIns="0" rIns="0" bIns="0" rtlCol="0"/>
                    </wps:wsp>
                  </a:graphicData>
                </a:graphic>
              </wp:anchor>
            </w:drawing>
          </mc:Choice>
          <mc:Fallback>
            <w:pict>
              <v:shape id="_x0000_s1048" type="#_x0000_t202" style="width:99pt;height:63.25pt;margin-top:7.22pt;margin-left:3pt;mso-position-horizontal-relative:page;position:absolute;z-index:251659264" filled="t" fillcolor="#dbd8d6" stroked="f">
                <v:fill type="solid"/>
                <v:textbox inset="0,0,0,0">
                  <w:txbxContent>
                    <w:p>
                      <w:pPr>
                        <w:spacing w:before="47" w:line="259" w:lineRule="auto"/>
                        <w:ind w:left="40" w:right="135" w:firstLine="0"/>
                        <w:jc w:val="left"/>
                        <w:rPr>
                          <w:sz w:val="16"/>
                        </w:rPr>
                      </w:pPr>
                      <w:r>
                        <w:rPr>
                          <w:b/>
                          <w:color w:val="3382A8"/>
                          <w:spacing w:val="-2"/>
                          <w:w w:val="110"/>
                          <w:sz w:val="16"/>
                        </w:rPr>
                        <w:t xml:space="preserve">Gli indicatori di sostenibilità </w:t>
                      </w:r>
                      <w:r>
                        <w:rPr>
                          <w:w w:val="110"/>
                          <w:sz w:val="16"/>
                        </w:rPr>
                        <w:t>misurano in che misura vengono raggiunte le caratteristiche ambientali o sociali promosse dal prodotto finanziario.</w:t>
                      </w:r>
                    </w:p>
                  </w:txbxContent>
                </v:textbox>
              </v:shape>
            </w:pict>
          </mc:Fallback>
        </mc:AlternateContent>
      </w:r>
      <w:r>
        <w:rPr>
          <w:w w:val="110"/>
          <w:sz w:val="17"/>
        </w:rPr>
        <w:t>Il Fondo investe una parte del proprio patrimonio in titoli che soddisfano una o più delle seguenti caratteristiche ambientali.</w:t>
      </w:r>
    </w:p>
    <w:p>
      <w:pPr>
        <w:pStyle w:val="BodyText"/>
        <w:spacing w:before="18"/>
      </w:pPr>
    </w:p>
    <w:p>
      <w:pPr>
        <w:pStyle w:val="ListParagraph"/>
        <w:numPr>
          <w:ilvl w:val="0"/>
          <w:numId w:val="5"/>
        </w:numPr>
        <w:tabs>
          <w:tab w:val="left" w:pos="2383"/>
          <w:tab w:val="left" w:pos="2518"/>
        </w:tabs>
        <w:spacing w:before="0" w:after="0" w:line="259" w:lineRule="auto"/>
        <w:ind w:left="2383" w:right="883" w:hanging="1"/>
        <w:jc w:val="both"/>
        <w:rPr>
          <w:sz w:val="18"/>
        </w:rPr>
      </w:pPr>
      <w:r>
        <w:rPr>
          <w:w w:val="110"/>
          <w:sz w:val="17"/>
        </w:rPr>
        <w:t>Emittenti che rendono pubblici i dati relativi alle emissioni di carbonio, consentendo al Fondo di limitare l’impatto complessivo del portafoglio sui cambiamenti climatici rispetto all’universo di investimento, mantenendo un’intensità di carbonio media ponderata (“WACI”) inferiore a quella dell’indice ICE Bank of America Global High Yield Constrained (l’“Indice”).</w:t>
      </w:r>
    </w:p>
    <w:p>
      <w:pPr>
        <w:pStyle w:val="BodyText"/>
        <w:spacing w:before="18"/>
      </w:pPr>
    </w:p>
    <w:p>
      <w:pPr>
        <w:pStyle w:val="ListParagraph"/>
        <w:numPr>
          <w:ilvl w:val="0"/>
          <w:numId w:val="5"/>
        </w:numPr>
        <w:tabs>
          <w:tab w:val="left" w:pos="2383"/>
          <w:tab w:val="left" w:pos="2518"/>
        </w:tabs>
        <w:spacing w:before="0" w:after="0" w:line="259" w:lineRule="auto"/>
        <w:ind w:left="2383" w:right="880" w:hanging="1"/>
        <w:jc w:val="both"/>
        <w:rPr>
          <w:sz w:val="18"/>
        </w:rPr>
      </w:pPr>
      <w:r>
        <w:rPr>
          <w:w w:val="110"/>
          <w:sz w:val="17"/>
        </w:rPr>
        <w:t>Gli emittenti vengono sottoposti a screening per consentire al Fondo di escludere l’investimento in titoli di qualsiasi emittente societario che generi più del 25% del proprio fatturato dalla produzione di energia da carbone termico (oltre ai criteri stabiliti nella Politica di esclusione).</w:t>
      </w:r>
    </w:p>
    <w:p>
      <w:pPr>
        <w:pStyle w:val="BodyText"/>
        <w:spacing w:before="15"/>
      </w:pPr>
    </w:p>
    <w:p>
      <w:pPr>
        <w:pStyle w:val="BodyText"/>
        <w:spacing w:line="259" w:lineRule="auto"/>
        <w:ind w:left="2383" w:right="888"/>
      </w:pPr>
      <w:r>
        <w:rPr>
          <w:w w:val="110"/>
          <w:sz w:val="17"/>
        </w:rPr>
        <w:t>Sebbene l’Indice venga utilizzato a fini di confronto del WACI, non è stato designato un benchmark di riferimento allo scopo di raggiungere le caratteristiche ambientali promosse dal Fondo.</w:t>
      </w:r>
    </w:p>
    <w:p>
      <w:pPr>
        <w:pStyle w:val="Heading3"/>
        <w:spacing w:before="134" w:line="249" w:lineRule="auto"/>
      </w:pPr>
      <w:r>
        <w:rPr>
          <w:color w:val="1A365D"/>
          <w:w w:val="110"/>
          <w:sz w:val="19"/>
        </w:rPr>
        <w:t>Quali indicatori di sostenibilità vengono utilizzati per misurare il raggiungimento di ciascuna delle caratteristiche ambientali o sociali promosse da questo prodotto finanziario?</w:t>
      </w:r>
    </w:p>
    <w:p>
      <w:pPr>
        <w:pStyle w:val="BodyText"/>
        <w:spacing w:before="86"/>
        <w:ind w:left="2767"/>
      </w:pPr>
      <w:r>
        <w:rPr>
          <w:w w:val="110"/>
          <w:sz w:val="17"/>
        </w:rPr>
        <w:t>La differenza percentuale tra il WACI del Fondo e quello dell’Indice.</w:t>
      </w:r>
    </w:p>
    <w:p>
      <w:pPr>
        <w:pStyle w:val="BodyText"/>
        <w:spacing w:before="37"/>
      </w:pPr>
    </w:p>
    <w:p>
      <w:pPr>
        <w:pStyle w:val="BodyText"/>
        <w:spacing w:line="259" w:lineRule="auto"/>
        <w:ind w:left="2767" w:right="892" w:hanging="3"/>
        <w:jc w:val="both"/>
      </w:pPr>
      <w:r>
        <w:rPr>
          <w:w w:val="110"/>
          <w:sz w:val="17"/>
        </w:rPr>
        <w:t>Il numero di emittenti societari in portafoglio che generano più del 25% dei propri ricavi dalla produzione di energia da carbone termico, identificati utilizzando una combinazione di analisi di terze parti e/o interne di Wellington Management.</w:t>
      </w:r>
    </w:p>
    <w:p>
      <w:pPr>
        <w:pStyle w:val="BodyText"/>
        <w:spacing w:before="169"/>
      </w:pPr>
    </w:p>
    <w:p>
      <w:pPr>
        <w:pStyle w:val="Heading3"/>
        <w:ind w:right="0"/>
        <w:jc w:val="both"/>
      </w:pPr>
      <w:r>
        <w:rPr>
          <w:color w:val="1A365D"/>
          <w:w w:val="110"/>
          <w:sz w:val="19"/>
        </w:rPr>
        <w:t>Quali sono gli obiettivi degli investimenti sostenibili che il prodotto finanziario intende parzialmente</w:t>
      </w:r>
    </w:p>
    <w:p>
      <w:pPr>
        <w:pStyle w:val="Heading3"/>
        <w:spacing w:after="0"/>
        <w:jc w:val="both"/>
        <w:sectPr>
          <w:type w:val="continuous"/>
          <w:pgSz w:w="11910" w:h="16840"/>
          <w:pgMar w:top="1200" w:right="0" w:bottom="840" w:left="0" w:header="10" w:footer="660"/>
          <w:cols w:space="708"/>
        </w:sectPr>
      </w:pPr>
    </w:p>
    <w:p>
      <w:pPr>
        <w:spacing w:before="70"/>
        <w:ind w:left="2767" w:right="0" w:firstLine="0"/>
        <w:jc w:val="left"/>
        <w:rPr>
          <w:b/>
          <w:i/>
          <w:sz w:val="20"/>
        </w:rPr>
      </w:pPr>
      <w:r>
        <w:rPr>
          <w:b/>
          <w:i/>
          <w:color w:val="1A365D"/>
          <w:w w:val="110"/>
          <w:sz w:val="19"/>
        </w:rPr>
        <w:t>intende effettuare e in che modo l’investimento sostenibile contribuisce a tali obiettivi?</w:t>
      </w:r>
    </w:p>
    <w:p>
      <w:pPr>
        <w:spacing w:after="0"/>
        <w:jc w:val="left"/>
        <w:rPr>
          <w:b/>
          <w:i/>
          <w:sz w:val="20"/>
        </w:rPr>
        <w:sectPr>
          <w:headerReference w:type="default" r:id="rId11"/>
          <w:footerReference w:type="default" r:id="rId12"/>
          <w:pgSz w:w="11910" w:h="16840"/>
          <w:pgMar w:top="1340" w:right="0" w:bottom="880" w:left="0" w:header="0" w:footer="688"/>
          <w:cols w:space="708"/>
        </w:sectPr>
      </w:pPr>
    </w:p>
    <w:p>
      <w:pPr>
        <w:pStyle w:val="BodyText"/>
        <w:spacing w:before="106" w:line="266" w:lineRule="auto"/>
        <w:ind w:left="2767" w:right="1276" w:hanging="3"/>
      </w:pPr>
      <w:r>
        <w:rPr>
          <w:w w:val="110"/>
          <w:sz w:val="17"/>
        </w:rPr>
        <w:t>Non applicabile. Il Fondo attualmente non si impegna a investire in alcun investimento sostenibile ai sensi del SFDR.</w:t>
      </w:r>
    </w:p>
    <w:p>
      <w:pPr>
        <w:pStyle w:val="Heading3"/>
        <w:spacing w:before="127" w:line="249" w:lineRule="auto"/>
        <w:ind w:right="957"/>
      </w:pPr>
      <w:r>
        <w:rPr>
          <w:color w:val="1A365D"/>
          <w:w w:val="110"/>
          <w:sz w:val="19"/>
        </w:rPr>
        <w:t>In che modo gli investimenti sostenibili che il prodotto finanziario intende effettuare, in parte, non causano un danno significativo a nessun obiettivo di investimento sostenibile ambientale o sociale?</w:t>
      </w:r>
    </w:p>
    <w:p>
      <w:pPr>
        <w:pStyle w:val="BodyText"/>
        <w:spacing w:before="104" w:line="264" w:lineRule="auto"/>
        <w:ind w:left="2767" w:right="1276" w:hanging="3"/>
      </w:pPr>
      <w:r>
        <w:rPr>
          <w:w w:val="110"/>
          <w:sz w:val="17"/>
        </w:rPr>
        <w:t>Non applicabile. Il Fondo non si impegna attualmente a investire in alcun investimento sostenibile ai sensi dello SFDR.</w:t>
      </w:r>
    </w:p>
    <w:p>
      <w:pPr>
        <w:pStyle w:val="ListParagraph"/>
        <w:numPr>
          <w:ilvl w:val="0"/>
          <w:numId w:val="4"/>
        </w:numPr>
        <w:tabs>
          <w:tab w:val="left" w:pos="3093"/>
          <w:tab w:val="left" w:pos="3218"/>
        </w:tabs>
        <w:spacing w:before="133" w:after="0" w:line="249" w:lineRule="auto"/>
        <w:ind w:left="3093" w:right="1023" w:hanging="1"/>
        <w:jc w:val="left"/>
        <w:rPr>
          <w:b/>
          <w:i/>
          <w:sz w:val="20"/>
        </w:rPr>
      </w:pPr>
      <w:r>
        <w:rPr>
          <w:b/>
          <w:i/>
          <w:sz w:val="20"/>
        </w:rPr>
        <mc:AlternateContent>
          <mc:Choice Requires="wps">
            <w:drawing>
              <wp:anchor distT="0" distB="0" distL="0" distR="0" simplePos="0" relativeHeight="251670528" behindDoc="0" locked="0" layoutInCell="1" allowOverlap="1">
                <wp:simplePos x="0" y="0"/>
                <wp:positionH relativeFrom="page">
                  <wp:posOffset>33528</wp:posOffset>
                </wp:positionH>
                <wp:positionV relativeFrom="paragraph">
                  <wp:posOffset>43342</wp:posOffset>
                </wp:positionV>
                <wp:extent cx="1251585" cy="1432560"/>
                <wp:effectExtent l="0" t="0" r="0" b="0"/>
                <wp:wrapNone/>
                <wp:docPr id="37" name="Textbox 37"/>
                <wp:cNvGraphicFramePr/>
                <a:graphic xmlns:a="http://schemas.openxmlformats.org/drawingml/2006/main">
                  <a:graphicData uri="http://schemas.microsoft.com/office/word/2010/wordprocessingShape">
                    <wps:wsp xmlns:wps="http://schemas.microsoft.com/office/word/2010/wordprocessingShape">
                      <wps:cNvSpPr txBox="1"/>
                      <wps:spPr>
                        <a:xfrm>
                          <a:off x="0" y="0"/>
                          <a:ext cx="1251585" cy="1432560"/>
                        </a:xfrm>
                        <a:prstGeom prst="rect">
                          <a:avLst/>
                        </a:prstGeom>
                        <a:solidFill>
                          <a:srgbClr val="DBD8D6"/>
                        </a:solidFill>
                      </wps:spPr>
                      <wps:txbx>
                        <w:txbxContent>
                          <w:p>
                            <w:pPr>
                              <w:spacing w:before="42" w:line="259" w:lineRule="auto"/>
                              <w:ind w:left="36" w:right="56" w:firstLine="0"/>
                              <w:jc w:val="left"/>
                              <w:rPr>
                                <w:sz w:val="16"/>
                              </w:rPr>
                            </w:pPr>
                            <w:r>
                              <w:rPr>
                                <w:b/>
                                <w:color w:val="3382A8"/>
                                <w:sz w:val="15"/>
                              </w:rPr>
                              <w:t xml:space="preserve">Gli impatti negativi principali </w:t>
                            </w:r>
                            <w:r>
                              <w:rPr>
                                <w:w w:val="110"/>
                                <w:sz w:val="15"/>
                              </w:rPr>
                              <w:t>sono gli impatti negativi più significativi delle decisioni di investimento sui fattori di sostenibilità relativi a questioni ambientali, sociali e relative ai dipendenti, al rispetto dei diritti umani, nonché alle questioni relative alla lotta alla corruzione e alle tangenti.</w:t>
                            </w:r>
                          </w:p>
                        </w:txbxContent>
                      </wps:txbx>
                      <wps:bodyPr wrap="square" lIns="0" tIns="0" rIns="0" bIns="0" rtlCol="0"/>
                    </wps:wsp>
                  </a:graphicData>
                </a:graphic>
              </wp:anchor>
            </w:drawing>
          </mc:Choice>
          <mc:Fallback>
            <w:pict>
              <v:shape id="_x0000_s1049" type="#_x0000_t202" style="width:98.55pt;height:112.8pt;margin-top:3.41pt;margin-left:2.64pt;mso-position-horizontal-relative:page;position:absolute;z-index:251671552" filled="t" fillcolor="#dbd8d6" stroked="f">
                <v:fill type="solid"/>
                <v:textbox inset="0,0,0,0">
                  <w:txbxContent>
                    <w:p>
                      <w:pPr>
                        <w:spacing w:before="42" w:line="259" w:lineRule="auto"/>
                        <w:ind w:left="36" w:right="56" w:firstLine="0"/>
                        <w:jc w:val="left"/>
                        <w:rPr>
                          <w:sz w:val="16"/>
                        </w:rPr>
                      </w:pPr>
                      <w:r>
                        <w:rPr>
                          <w:b/>
                          <w:color w:val="3382A8"/>
                          <w:sz w:val="16"/>
                        </w:rPr>
                        <w:t xml:space="preserve">Gli impatti negativi principali </w:t>
                      </w:r>
                      <w:r>
                        <w:rPr>
                          <w:w w:val="110"/>
                          <w:sz w:val="16"/>
                        </w:rPr>
                        <w:t>sono gli effetti negativi più significativi delle decisioni di investimento sui fattori di sostenibilità relativi a questioni ambientali, sociali e relative ai dipendenti, al rispetto dei diritti umani, nonché alle questioni relative alla lotta alla corruzione e alle tangenti.</w:t>
                      </w:r>
                    </w:p>
                  </w:txbxContent>
                </v:textbox>
              </v:shape>
            </w:pict>
          </mc:Fallback>
        </mc:AlternateContent>
      </w:r>
      <w:r>
        <w:rPr>
          <w:b/>
          <w:i/>
          <w:w w:val="110"/>
          <w:sz w:val="19"/>
        </w:rPr>
        <w:t>In che modo sono stati presi in considerazione gli indicatori relativi agli impatti negativi sui fattori di sostenibilità?</w:t>
      </w:r>
    </w:p>
    <w:p>
      <w:pPr>
        <w:pStyle w:val="BodyText"/>
        <w:spacing w:before="105" w:line="266" w:lineRule="auto"/>
        <w:ind w:left="3093" w:right="1276" w:hanging="5"/>
      </w:pPr>
      <w:r>
        <w:rPr>
          <w:w w:val="110"/>
          <w:sz w:val="17"/>
        </w:rPr>
        <w:t>Non applicabile. Il Fondo non si impegna attualmente a investire in investimenti sostenibili ai sensi del SFDR.</w:t>
      </w:r>
    </w:p>
    <w:p>
      <w:pPr>
        <w:pStyle w:val="ListParagraph"/>
        <w:numPr>
          <w:ilvl w:val="0"/>
          <w:numId w:val="4"/>
        </w:numPr>
        <w:tabs>
          <w:tab w:val="left" w:pos="3093"/>
          <w:tab w:val="left" w:pos="3218"/>
        </w:tabs>
        <w:spacing w:before="97" w:after="0" w:line="252" w:lineRule="auto"/>
        <w:ind w:left="3093" w:right="1497" w:hanging="1"/>
        <w:jc w:val="left"/>
        <w:rPr>
          <w:b/>
          <w:i/>
          <w:sz w:val="20"/>
        </w:rPr>
      </w:pPr>
      <w:r>
        <w:rPr>
          <w:b/>
          <w:i/>
          <w:sz w:val="19"/>
        </w:rPr>
        <w:t>In che modo gli investimenti sostenibili sono in linea con le Linee guida dell’OCSE per le imprese multinazionali e con i Principi guida delle Nazioni Unite su imprese e diritti umani? Dettagli:</w:t>
      </w:r>
    </w:p>
    <w:p>
      <w:pPr>
        <w:pStyle w:val="BodyText"/>
        <w:spacing w:before="103" w:line="264" w:lineRule="auto"/>
        <w:ind w:left="3093" w:right="1276" w:hanging="5"/>
      </w:pPr>
      <w:r>
        <w:rPr>
          <w:w w:val="110"/>
          <w:sz w:val="17"/>
        </w:rPr>
        <w:t>Non applicabile. Il Fondo non si impegna attualmente a investire in investimenti sostenibili ai sensi del SFDR.</w:t>
      </w:r>
    </w:p>
    <w:p>
      <w:pPr>
        <w:pStyle w:val="BodyText"/>
        <w:spacing w:before="8"/>
        <w:rPr>
          <w:sz w:val="5"/>
        </w:rPr>
      </w:pPr>
      <w:r>
        <w:rPr>
          <w:sz w:val="5"/>
        </w:rPr>
        <mc:AlternateContent>
          <mc:Choice Requires="wps">
            <w:drawing>
              <wp:anchor distT="0" distB="0" distL="0" distR="0" simplePos="0" relativeHeight="251713536" behindDoc="1" locked="0" layoutInCell="1" allowOverlap="1">
                <wp:simplePos x="0" y="0"/>
                <wp:positionH relativeFrom="page">
                  <wp:posOffset>1729739</wp:posOffset>
                </wp:positionH>
                <wp:positionV relativeFrom="paragraph">
                  <wp:posOffset>57274</wp:posOffset>
                </wp:positionV>
                <wp:extent cx="5290185" cy="1754505"/>
                <wp:effectExtent l="0" t="0" r="0" b="0"/>
                <wp:wrapTopAndBottom/>
                <wp:docPr id="38" name="Textbox 38"/>
                <wp:cNvGraphicFramePr/>
                <a:graphic xmlns:a="http://schemas.openxmlformats.org/drawingml/2006/main">
                  <a:graphicData uri="http://schemas.microsoft.com/office/word/2010/wordprocessingShape">
                    <wps:wsp xmlns:wps="http://schemas.microsoft.com/office/word/2010/wordprocessingShape">
                      <wps:cNvSpPr txBox="1"/>
                      <wps:spPr>
                        <a:xfrm>
                          <a:off x="0" y="0"/>
                          <a:ext cx="5290185" cy="1754505"/>
                        </a:xfrm>
                        <a:prstGeom prst="rect">
                          <a:avLst/>
                        </a:prstGeom>
                        <a:solidFill>
                          <a:srgbClr val="1A365D"/>
                        </a:solidFill>
                      </wps:spPr>
                      <wps:txbx>
                        <w:txbxContent>
                          <w:p>
                            <w:pPr>
                              <w:pStyle w:val="BodyText"/>
                              <w:spacing w:before="64"/>
                            </w:pPr>
                          </w:p>
                          <w:p>
                            <w:pPr>
                              <w:pStyle w:val="BodyText"/>
                              <w:spacing w:line="259" w:lineRule="auto"/>
                              <w:ind w:left="43" w:right="10"/>
                            </w:pPr>
                            <w:r>
                              <w:rPr>
                                <w:color w:val="FFFFFF"/>
                                <w:w w:val="110"/>
                                <w:sz w:val="17"/>
                              </w:rPr>
                              <w:t>La tassonomia dell’UE stabilisce il principio del «non causare danni significativi», secondo cui gli investimenti allineati alla tassonomia non devono danneggiare in modo significativo gli obiettivi della tassonomia dell’UE, ed è accompagnata da criteri specifici dell’UE.</w:t>
                            </w:r>
                          </w:p>
                          <w:p>
                            <w:pPr>
                              <w:pStyle w:val="BodyText"/>
                              <w:spacing w:before="17"/>
                            </w:pPr>
                          </w:p>
                          <w:p>
                            <w:pPr>
                              <w:pStyle w:val="BodyText"/>
                              <w:spacing w:line="259" w:lineRule="auto"/>
                              <w:ind w:left="43" w:right="10"/>
                            </w:pPr>
                            <w:r>
                              <w:rPr>
                                <w:color w:val="FFFFFF"/>
                                <w:w w:val="110"/>
                                <w:sz w:val="17"/>
                              </w:rPr>
                              <w:t>Il principio del «non causare danni significativi» si applica solo agli investimenti sottostanti al prodotto finanziario che tengono conto dei criteri dell’UE per le attività economiche sostenibili dal punto di vista ambientale. Gli investimenti sottostanti alla restante parte di questo prodotto finanziario non tengono conto dei criteri dell’UE per le attività economiche sostenibili dal punto di vista ambientale.</w:t>
                            </w:r>
                          </w:p>
                          <w:p>
                            <w:pPr>
                              <w:pStyle w:val="BodyText"/>
                              <w:spacing w:before="18"/>
                            </w:pPr>
                          </w:p>
                          <w:p>
                            <w:pPr>
                              <w:pStyle w:val="BodyText"/>
                              <w:spacing w:line="259" w:lineRule="auto"/>
                              <w:ind w:left="43" w:right="10"/>
                            </w:pPr>
                            <w:r>
                              <w:rPr>
                                <w:color w:val="FFFFFF"/>
                                <w:w w:val="110"/>
                                <w:sz w:val="17"/>
                              </w:rPr>
                              <w:t>Anche qualsiasi altro investimento sostenibile non deve arrecare danno significativo ad alcun obiettivo ambientale o sociale.</w:t>
                            </w:r>
                          </w:p>
                        </w:txbxContent>
                      </wps:txbx>
                      <wps:bodyPr wrap="square" lIns="0" tIns="0" rIns="0" bIns="0" rtlCol="0"/>
                    </wps:wsp>
                  </a:graphicData>
                </a:graphic>
              </wp:anchor>
            </w:drawing>
          </mc:Choice>
          <mc:Fallback>
            <w:pict>
              <v:shape id="_x0000_s1050" type="#_x0000_t202" style="width:416.55pt;height:138.15pt;margin-top:4.51pt;margin-left:136.2pt;mso-position-horizontal-relative:page;mso-wrap-distance-left:0;mso-wrap-distance-right:0;position:absolute;z-index:-251601920" filled="t" fillcolor="#1a365d" stroked="f">
                <v:fill type="solid"/>
                <v:textbox inset="0,0,0,0">
                  <w:txbxContent>
                    <w:p>
                      <w:pPr>
                        <w:pStyle w:val="BodyText"/>
                        <w:spacing w:before="64"/>
                      </w:pPr>
                    </w:p>
                    <w:p>
                      <w:pPr>
                        <w:pStyle w:val="BodyText"/>
                        <w:spacing w:line="259" w:lineRule="auto"/>
                        <w:ind w:left="43" w:right="10"/>
                      </w:pPr>
                      <w:r>
                        <w:rPr>
                          <w:color w:val="FFFFFF"/>
                          <w:w w:val="110"/>
                        </w:rPr>
                        <w:t>La tassonomia dell’UE stabilisce il principio del «non causare danni significativi», secondo cui gli investimenti allineati alla tassonomia non devono arrecare danni significativi agli obiettivi della tassonomia dell’UE, ed è accompagnata da criteri specifici dell’UE.</w:t>
                      </w:r>
                    </w:p>
                    <w:p>
                      <w:pPr>
                        <w:pStyle w:val="BodyText"/>
                        <w:spacing w:before="17"/>
                      </w:pPr>
                    </w:p>
                    <w:p>
                      <w:pPr>
                        <w:pStyle w:val="BodyText"/>
                        <w:spacing w:line="259" w:lineRule="auto"/>
                        <w:ind w:left="43" w:right="10"/>
                      </w:pPr>
                      <w:r>
                        <w:rPr>
                          <w:color w:val="FFFFFF"/>
                          <w:w w:val="110"/>
                        </w:rPr>
                        <w:t>Il principio del «non causare danni significativi» si applica solo agli investimenti sottostanti al prodotto finanziario che tengono conto dei criteri dell’UE per le attività economiche sostenibili dal punto di vista ambientale. Gli investimenti sottostanti alla restante parte di questo prodotto finanziario non tengono conto dei criteri dell’UE per le attività economiche sostenibili dal punto di vista ambientale.</w:t>
                      </w:r>
                    </w:p>
                    <w:p>
                      <w:pPr>
                        <w:pStyle w:val="BodyText"/>
                        <w:spacing w:before="18"/>
                      </w:pPr>
                    </w:p>
                    <w:p>
                      <w:pPr>
                        <w:pStyle w:val="BodyText"/>
                        <w:spacing w:line="259" w:lineRule="auto"/>
                        <w:ind w:left="43" w:right="10"/>
                      </w:pPr>
                      <w:r>
                        <w:rPr>
                          <w:color w:val="FFFFFF"/>
                          <w:w w:val="110"/>
                        </w:rPr>
                        <w:t>Anche qualsiasi altro investimento sostenibile non deve arrecare danno significativo ad alcun obiettivo ambientale o sociale.</w:t>
                      </w:r>
                    </w:p>
                  </w:txbxContent>
                </v:textbox>
                <w10:wrap type="topAndBottom"/>
              </v:shape>
            </w:pict>
          </mc:Fallback>
        </mc:AlternateContent>
      </w:r>
    </w:p>
    <w:p>
      <w:pPr>
        <w:pStyle w:val="BodyText"/>
      </w:pPr>
    </w:p>
    <w:p>
      <w:pPr>
        <w:pStyle w:val="BodyText"/>
        <w:spacing w:before="1"/>
      </w:pPr>
    </w:p>
    <w:p>
      <w:pPr>
        <w:pStyle w:val="Heading2"/>
        <w:ind w:left="2325"/>
        <w:jc w:val="both"/>
      </w:pPr>
      <w:r>
        <w:drawing>
          <wp:anchor distT="0" distB="0" distL="0" distR="0" simplePos="0" relativeHeight="251666432" behindDoc="0" locked="0" layoutInCell="1" allowOverlap="1">
            <wp:simplePos x="0" y="0"/>
            <wp:positionH relativeFrom="page">
              <wp:posOffset>21335</wp:posOffset>
            </wp:positionH>
            <wp:positionV relativeFrom="paragraph">
              <wp:posOffset>-153774</wp:posOffset>
            </wp:positionV>
            <wp:extent cx="1377696" cy="486155"/>
            <wp:effectExtent l="0" t="0" r="0" b="0"/>
            <wp:wrapNone/>
            <wp:docPr id="39" name="Image 39"/>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xmlns:r="http://schemas.openxmlformats.org/officeDocument/2006/relationships" r:embed="rId13" cstate="print"/>
                    <a:stretch>
                      <a:fillRect/>
                    </a:stretch>
                  </pic:blipFill>
                  <pic:spPr>
                    <a:xfrm>
                      <a:off x="0" y="0"/>
                      <a:ext cx="1377696" cy="486155"/>
                    </a:xfrm>
                    <a:prstGeom prst="rect">
                      <a:avLst/>
                    </a:prstGeom>
                  </pic:spPr>
                </pic:pic>
              </a:graphicData>
            </a:graphic>
          </wp:anchor>
        </w:drawing>
      </w:r>
      <w:r>
        <w:rPr>
          <w:color w:val="1A365D"/>
          <w:spacing w:val="2"/>
          <w:sz w:val="19"/>
        </w:rPr>
        <w:t>Questo prodotto finanziario tiene conto dei principali impatti negativi sui fattori di sostenibilità?</w:t>
      </w:r>
    </w:p>
    <w:p>
      <w:pPr>
        <w:pStyle w:val="BodyText"/>
        <w:spacing w:before="159"/>
        <w:rPr>
          <w:b/>
          <w:sz w:val="20"/>
        </w:rPr>
      </w:pPr>
    </w:p>
    <w:p>
      <w:pPr>
        <w:tabs>
          <w:tab w:val="left" w:pos="2999"/>
        </w:tabs>
        <w:spacing w:before="0"/>
        <w:ind w:left="2342" w:right="0" w:firstLine="0"/>
        <w:jc w:val="left"/>
        <w:rPr>
          <w:position w:val="1"/>
          <w:sz w:val="18"/>
        </w:rPr>
      </w:pPr>
      <w:r>
        <w:drawing>
          <wp:inline distT="0" distB="0" distL="0" distR="0">
            <wp:extent cx="91440" cy="91440"/>
            <wp:effectExtent l="0" t="0" r="0" b="0"/>
            <wp:docPr id="40" name="Image 40"/>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xmlns:r="http://schemas.openxmlformats.org/officeDocument/2006/relationships" r:embed="rId14" cstate="print"/>
                    <a:stretch>
                      <a:fillRect/>
                    </a:stretch>
                  </pic:blipFill>
                  <pic:spPr>
                    <a:xfrm>
                      <a:off x="0" y="0"/>
                      <a:ext cx="91440" cy="91440"/>
                    </a:xfrm>
                    <a:prstGeom prst="rect">
                      <a:avLst/>
                    </a:prstGeom>
                  </pic:spPr>
                </pic:pic>
              </a:graphicData>
            </a:graphic>
          </wp:inline>
        </w:drawing>
      </w:r>
      <w:r>
        <w:rPr>
          <w:position w:val="1"/>
          <w:sz w:val="19"/>
        </w:rPr>
        <w:tab/>
      </w:r>
      <w:r>
        <w:rPr>
          <w:spacing w:val="-5"/>
          <w:position w:val="1"/>
          <w:sz w:val="17"/>
        </w:rPr>
        <w:t>Sì</w:t>
      </w:r>
    </w:p>
    <w:p>
      <w:pPr>
        <w:tabs>
          <w:tab w:val="left" w:pos="2999"/>
        </w:tabs>
        <w:spacing w:before="128"/>
        <w:ind w:left="2342" w:right="0" w:firstLine="0"/>
        <w:jc w:val="left"/>
        <w:rPr>
          <w:sz w:val="18"/>
        </w:rPr>
      </w:pPr>
      <w:r>
        <w:drawing>
          <wp:inline distT="0" distB="0" distL="0" distR="0">
            <wp:extent cx="89916" cy="91439"/>
            <wp:effectExtent l="0" t="0" r="0" b="0"/>
            <wp:docPr id="41" name="Image 41"/>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xmlns:r="http://schemas.openxmlformats.org/officeDocument/2006/relationships" r:embed="rId15" cstate="print"/>
                    <a:stretch>
                      <a:fillRect/>
                    </a:stretch>
                  </pic:blipFill>
                  <pic:spPr>
                    <a:xfrm>
                      <a:off x="0" y="0"/>
                      <a:ext cx="89916" cy="91439"/>
                    </a:xfrm>
                    <a:prstGeom prst="rect">
                      <a:avLst/>
                    </a:prstGeom>
                  </pic:spPr>
                </pic:pic>
              </a:graphicData>
            </a:graphic>
          </wp:inline>
        </w:drawing>
      </w:r>
      <w:r>
        <w:rPr>
          <w:sz w:val="19"/>
        </w:rPr>
        <w:tab/>
      </w:r>
      <w:r>
        <w:rPr>
          <w:spacing w:val="-7"/>
          <w:w w:val="110"/>
          <w:sz w:val="17"/>
        </w:rPr>
        <w:t>No</w:t>
      </w:r>
    </w:p>
    <w:p>
      <w:pPr>
        <w:pStyle w:val="BodyText"/>
        <w:spacing w:before="106" w:line="259" w:lineRule="auto"/>
        <w:ind w:left="2325" w:right="931"/>
        <w:jc w:val="both"/>
      </w:pPr>
      <w:r>
        <w:rPr>
          <w:w w:val="110"/>
          <w:sz w:val="17"/>
        </w:rPr>
        <w:t>In virtù delle attuali linee guida di investimento del Fondo, quest’ultimo tiene conto, direttamente o indirettamente, di alcuni (ma non di tutti) gli impatti negativi principali elencati nell’Allegato I, Tabella I, delle Norme tecniche di regolamentazione di Livello II del SFDR (“PAI”) su tutto o parte del Fondo:</w:t>
      </w:r>
    </w:p>
    <w:p>
      <w:pPr>
        <w:pStyle w:val="ListParagraph"/>
        <w:numPr>
          <w:ilvl w:val="0"/>
          <w:numId w:val="3"/>
        </w:numPr>
        <w:tabs>
          <w:tab w:val="left" w:pos="2325"/>
          <w:tab w:val="left" w:pos="2460"/>
        </w:tabs>
        <w:spacing w:before="18" w:after="0" w:line="266" w:lineRule="auto"/>
        <w:ind w:left="2325" w:right="845" w:hanging="3"/>
        <w:jc w:val="both"/>
        <w:rPr>
          <w:sz w:val="18"/>
        </w:rPr>
      </w:pPr>
      <w:r>
        <w:rPr>
          <w:w w:val="110"/>
          <w:sz w:val="17"/>
        </w:rPr>
        <w:t>Il Fondo non investe in società che producono armi controverse in conformità con la Politica di esclusione - PAI: Esposizione ad armi controverse.</w:t>
      </w:r>
    </w:p>
    <w:p>
      <w:pPr>
        <w:pStyle w:val="ListParagraph"/>
        <w:numPr>
          <w:ilvl w:val="0"/>
          <w:numId w:val="3"/>
        </w:numPr>
        <w:tabs>
          <w:tab w:val="left" w:pos="2325"/>
          <w:tab w:val="left" w:pos="2460"/>
        </w:tabs>
        <w:spacing w:before="14" w:after="0" w:line="266" w:lineRule="auto"/>
        <w:ind w:left="2325" w:right="803" w:hanging="1"/>
        <w:jc w:val="both"/>
        <w:rPr>
          <w:sz w:val="18"/>
        </w:rPr>
      </w:pPr>
      <w:r>
        <w:rPr>
          <w:w w:val="110"/>
          <w:sz w:val="17"/>
        </w:rPr>
        <w:t>Il Fondo manterrà un’impronta di carbonio (intensità media ponderata di carbonio) inferiore a quella dell’Indice. PAI: Impronta di carbonio; Emissioni di gas serra, Intensità di gas serra delle società partecipate.</w:t>
      </w:r>
    </w:p>
    <w:p>
      <w:pPr>
        <w:pStyle w:val="ListParagraph"/>
        <w:numPr>
          <w:ilvl w:val="0"/>
          <w:numId w:val="3"/>
        </w:numPr>
        <w:tabs>
          <w:tab w:val="left" w:pos="2325"/>
          <w:tab w:val="left" w:pos="2556"/>
        </w:tabs>
        <w:spacing w:before="1" w:after="0" w:line="259" w:lineRule="auto"/>
        <w:ind w:left="2325" w:right="934" w:hanging="1"/>
        <w:jc w:val="both"/>
        <w:rPr>
          <w:sz w:val="18"/>
        </w:rPr>
      </w:pPr>
      <w:r>
        <w:rPr>
          <w:w w:val="110"/>
          <w:sz w:val="17"/>
        </w:rPr>
        <w:t>Il Fondo non investe in società principalmente coinvolte nell’estrazione di carbone termico, nella produzione di energia da carbone termico e nell’estrazione di sabbie bituminose, in conformità con la Politica di esclusione – PAI: Esposizione a società attive nel settore dei combustibili fossili; Quota di consumo e produzione di energia non rinnovabile.</w:t>
      </w:r>
    </w:p>
    <w:p>
      <w:pPr>
        <w:pStyle w:val="BodyText"/>
        <w:spacing w:before="10"/>
      </w:pPr>
    </w:p>
    <w:p>
      <w:pPr>
        <w:pStyle w:val="BodyText"/>
        <w:spacing w:line="271" w:lineRule="auto"/>
        <w:ind w:left="2325" w:right="888"/>
      </w:pPr>
      <w:r>
        <w:drawing>
          <wp:anchor distT="0" distB="0" distL="0" distR="0" simplePos="0" relativeHeight="251667456" behindDoc="0" locked="0" layoutInCell="1" allowOverlap="1">
            <wp:simplePos x="0" y="0"/>
            <wp:positionH relativeFrom="page">
              <wp:posOffset>7620</wp:posOffset>
            </wp:positionH>
            <wp:positionV relativeFrom="paragraph">
              <wp:posOffset>1028914</wp:posOffset>
            </wp:positionV>
            <wp:extent cx="1423416" cy="507491"/>
            <wp:effectExtent l="0" t="0" r="0" b="0"/>
            <wp:wrapNone/>
            <wp:docPr id="42" name="Image 42"/>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xmlns:r="http://schemas.openxmlformats.org/officeDocument/2006/relationships" r:embed="rId16" cstate="print"/>
                    <a:stretch>
                      <a:fillRect/>
                    </a:stretch>
                  </pic:blipFill>
                  <pic:spPr>
                    <a:xfrm>
                      <a:off x="0" y="0"/>
                      <a:ext cx="1423416" cy="507491"/>
                    </a:xfrm>
                    <a:prstGeom prst="rect">
                      <a:avLst/>
                    </a:prstGeom>
                  </pic:spPr>
                </pic:pic>
              </a:graphicData>
            </a:graphic>
          </wp:anchor>
        </w:drawing>
      </w:r>
      <w:r>
        <w:rPr>
          <w:w w:val="110"/>
          <w:sz w:val="17"/>
        </w:rPr>
        <w:t xml:space="preserve">Sebbene tali restrizioni tengano conto di alcuni dei PAI, tale considerazione non elimina necessariamente del tutto l’esposizione del Fondo a tali PAI. Inoltre, la misura in cui tali restrizioni incidono sul processo di investimento può essere limitata qualora tali investimenti non rientrino nell’ambito dell’obiettivo di investimento del Fondo. Il Fondo si impegna inoltre a riferire periodicamente su questi Principali Impatti Negativi (PAI), includendo tale relazione nella relazione annuale del Fondo. Per ulteriori informazioni, consultare </w:t>
      </w:r>
      <w:r>
        <w:rPr>
          <w:spacing w:val="-2"/>
          <w:w w:val="110"/>
          <w:sz w:val="17"/>
        </w:rPr>
        <w:t>il sito</w:t>
      </w:r>
      <w:hyperlink r:id="rId17">
        <w:r>
          <w:rPr>
            <w:spacing w:val="-2"/>
            <w:w w:val="110"/>
            <w:sz w:val="17"/>
          </w:rPr>
          <w:t>www.wellingtonfunds.com/sfdr</w:t>
        </w:r>
      </w:hyperlink>
      <w:r>
        <w:rPr>
          <w:spacing w:val="-2"/>
          <w:w w:val="110"/>
          <w:sz w:val="17"/>
        </w:rPr>
        <w:t xml:space="preserve"> .</w:t>
      </w:r>
    </w:p>
    <w:p>
      <w:pPr>
        <w:pStyle w:val="BodyText"/>
      </w:pPr>
    </w:p>
    <w:p>
      <w:pPr>
        <w:pStyle w:val="BodyText"/>
        <w:spacing w:before="91"/>
      </w:pPr>
    </w:p>
    <w:p>
      <w:pPr>
        <w:pStyle w:val="Heading2"/>
        <w:ind w:left="2337"/>
      </w:pPr>
      <w:r>
        <w:rPr>
          <w:color w:val="1A365D"/>
          <w:w w:val="105"/>
          <w:sz w:val="19"/>
        </w:rPr>
        <w:t>Quale strategia di investimento segue questo prodotto finanziario?</w:t>
      </w:r>
    </w:p>
    <w:p>
      <w:pPr>
        <w:pStyle w:val="BodyText"/>
        <w:spacing w:before="221"/>
        <w:rPr>
          <w:b/>
          <w:sz w:val="20"/>
        </w:rPr>
      </w:pPr>
    </w:p>
    <w:p>
      <w:pPr>
        <w:pStyle w:val="BodyText"/>
        <w:spacing w:line="259" w:lineRule="auto"/>
        <w:ind w:left="2400" w:right="888"/>
      </w:pPr>
      <w:r>
        <mc:AlternateContent>
          <mc:Choice Requires="wps">
            <w:drawing>
              <wp:anchor distT="0" distB="0" distL="0" distR="0" simplePos="0" relativeHeight="251668480" behindDoc="0" locked="0" layoutInCell="1" allowOverlap="1">
                <wp:simplePos x="0" y="0"/>
                <wp:positionH relativeFrom="page">
                  <wp:posOffset>33528</wp:posOffset>
                </wp:positionH>
                <wp:positionV relativeFrom="paragraph">
                  <wp:posOffset>-34625</wp:posOffset>
                </wp:positionV>
                <wp:extent cx="1239520" cy="424180"/>
                <wp:effectExtent l="0" t="0" r="0" b="0"/>
                <wp:wrapNone/>
                <wp:docPr id="43" name="Textbox 43"/>
                <wp:cNvGraphicFramePr/>
                <a:graphic xmlns:a="http://schemas.openxmlformats.org/drawingml/2006/main">
                  <a:graphicData uri="http://schemas.microsoft.com/office/word/2010/wordprocessingShape">
                    <wps:wsp xmlns:wps="http://schemas.microsoft.com/office/word/2010/wordprocessingShape">
                      <wps:cNvSpPr txBox="1"/>
                      <wps:spPr>
                        <a:xfrm>
                          <a:off x="0" y="0"/>
                          <a:ext cx="1239520" cy="424180"/>
                        </a:xfrm>
                        <a:prstGeom prst="rect">
                          <a:avLst/>
                        </a:prstGeom>
                        <a:solidFill>
                          <a:srgbClr val="DBD8D6"/>
                        </a:solidFill>
                      </wps:spPr>
                      <wps:txbx>
                        <w:txbxContent>
                          <w:p>
                            <w:pPr>
                              <w:spacing w:before="52" w:line="259" w:lineRule="auto"/>
                              <w:ind w:left="36" w:right="79" w:firstLine="0"/>
                              <w:jc w:val="left"/>
                              <w:rPr>
                                <w:sz w:val="16"/>
                              </w:rPr>
                            </w:pPr>
                            <w:r>
                              <w:rPr>
                                <w:b/>
                                <w:color w:val="3382A8"/>
                                <w:w w:val="110"/>
                                <w:sz w:val="15"/>
                              </w:rPr>
                              <w:t xml:space="preserve">La strategia di investimento </w:t>
                            </w:r>
                            <w:r>
                              <w:rPr>
                                <w:w w:val="110"/>
                                <w:sz w:val="15"/>
                              </w:rPr>
                              <w:t>guida le decisioni di investimento sulla base di fattori</w:t>
                            </w:r>
                          </w:p>
                        </w:txbxContent>
                      </wps:txbx>
                      <wps:bodyPr wrap="square" lIns="0" tIns="0" rIns="0" bIns="0" rtlCol="0"/>
                    </wps:wsp>
                  </a:graphicData>
                </a:graphic>
              </wp:anchor>
            </w:drawing>
          </mc:Choice>
          <mc:Fallback>
            <w:pict>
              <v:shape id="_x0000_s1051" type="#_x0000_t202" style="width:97.6pt;height:33.4pt;margin-top:-2.73pt;margin-left:2.64pt;mso-position-horizontal-relative:page;position:absolute;z-index:251669504" filled="t" fillcolor="#dbd8d6" stroked="f">
                <v:fill type="solid"/>
                <v:textbox inset="0,0,0,0">
                  <w:txbxContent>
                    <w:p>
                      <w:pPr>
                        <w:spacing w:before="52" w:line="259" w:lineRule="auto"/>
                        <w:ind w:left="36" w:right="79" w:firstLine="0"/>
                        <w:jc w:val="left"/>
                        <w:rPr>
                          <w:sz w:val="16"/>
                        </w:rPr>
                      </w:pPr>
                      <w:r>
                        <w:rPr>
                          <w:b/>
                          <w:color w:val="3382A8"/>
                          <w:w w:val="110"/>
                          <w:sz w:val="16"/>
                        </w:rPr>
                        <w:t xml:space="preserve">La strategia di investimento </w:t>
                      </w:r>
                      <w:r>
                        <w:rPr>
                          <w:w w:val="110"/>
                          <w:sz w:val="16"/>
                        </w:rPr>
                        <w:t>guida le decisioni di investimento sulla base di fattori</w:t>
                      </w:r>
                    </w:p>
                  </w:txbxContent>
                </v:textbox>
              </v:shape>
            </w:pict>
          </mc:Fallback>
        </mc:AlternateContent>
      </w:r>
      <w:r>
        <w:rPr>
          <w:w w:val="110"/>
          <w:sz w:val="17"/>
        </w:rPr>
        <w:t>La strategia di investimento utilizzata per raggiungere le caratteristiche ambientali promosse dal Fondo è descritta di seguito.</w:t>
      </w:r>
    </w:p>
    <w:p>
      <w:pPr>
        <w:pStyle w:val="BodyText"/>
        <w:spacing w:after="0" w:line="259" w:lineRule="auto"/>
        <w:sectPr>
          <w:headerReference w:type="default" r:id="rId18"/>
          <w:footerReference w:type="default" r:id="rId19"/>
          <w:pgSz w:w="11910" w:h="16840"/>
          <w:pgMar w:top="1200" w:right="0" w:bottom="800" w:left="0" w:header="10" w:footer="613"/>
          <w:cols w:space="708"/>
        </w:sectPr>
      </w:pPr>
    </w:p>
    <w:p>
      <w:pPr>
        <w:pStyle w:val="BodyText"/>
        <w:spacing w:before="89" w:line="259" w:lineRule="auto"/>
        <w:ind w:left="2400" w:right="861"/>
        <w:jc w:val="both"/>
      </w:pPr>
      <w:r>
        <mc:AlternateContent>
          <mc:Choice Requires="wps">
            <w:drawing>
              <wp:anchor distT="0" distB="0" distL="0" distR="0" simplePos="0" relativeHeight="251677696" behindDoc="0" locked="0" layoutInCell="1" allowOverlap="1">
                <wp:simplePos x="0" y="0"/>
                <wp:positionH relativeFrom="page">
                  <wp:posOffset>32003</wp:posOffset>
                </wp:positionH>
                <wp:positionV relativeFrom="paragraph">
                  <wp:posOffset>24941</wp:posOffset>
                </wp:positionV>
                <wp:extent cx="1242060" cy="431800"/>
                <wp:effectExtent l="0" t="0" r="0" b="0"/>
                <wp:wrapNone/>
                <wp:docPr id="44" name="Textbox 44"/>
                <wp:cNvGraphicFramePr/>
                <a:graphic xmlns:a="http://schemas.openxmlformats.org/drawingml/2006/main">
                  <a:graphicData uri="http://schemas.microsoft.com/office/word/2010/wordprocessingShape">
                    <wps:wsp xmlns:wps="http://schemas.microsoft.com/office/word/2010/wordprocessingShape">
                      <wps:cNvSpPr txBox="1"/>
                      <wps:spPr>
                        <a:xfrm>
                          <a:off x="0" y="0"/>
                          <a:ext cx="1242060" cy="431800"/>
                        </a:xfrm>
                        <a:prstGeom prst="rect">
                          <a:avLst/>
                        </a:prstGeom>
                        <a:solidFill>
                          <a:srgbClr val="DBD8D6"/>
                        </a:solidFill>
                      </wps:spPr>
                      <wps:txbx>
                        <w:txbxContent>
                          <w:p>
                            <w:pPr>
                              <w:spacing w:before="50" w:line="259" w:lineRule="auto"/>
                              <w:ind w:left="38" w:right="562" w:firstLine="0"/>
                              <w:jc w:val="both"/>
                              <w:rPr>
                                <w:sz w:val="16"/>
                              </w:rPr>
                            </w:pPr>
                            <w:r>
                              <w:rPr>
                                <w:w w:val="110"/>
                                <w:sz w:val="15"/>
                              </w:rPr>
                              <w:t>quali gli obiettivi di investimento e la propensione al rischio.</w:t>
                            </w:r>
                          </w:p>
                        </w:txbxContent>
                      </wps:txbx>
                      <wps:bodyPr wrap="square" lIns="0" tIns="0" rIns="0" bIns="0" rtlCol="0"/>
                    </wps:wsp>
                  </a:graphicData>
                </a:graphic>
              </wp:anchor>
            </w:drawing>
          </mc:Choice>
          <mc:Fallback>
            <w:pict>
              <v:shape id="_x0000_s1052" type="#_x0000_t202" style="width:97.8pt;height:34pt;margin-top:1.96pt;margin-left:2.52pt;mso-position-horizontal-relative:page;position:absolute;z-index:251678720" filled="t" fillcolor="#dbd8d6" stroked="f">
                <v:fill type="solid"/>
                <v:textbox inset="0,0,0,0">
                  <w:txbxContent>
                    <w:p>
                      <w:pPr>
                        <w:spacing w:before="50" w:line="259" w:lineRule="auto"/>
                        <w:ind w:left="38" w:right="562" w:firstLine="0"/>
                        <w:jc w:val="both"/>
                        <w:rPr>
                          <w:sz w:val="16"/>
                        </w:rPr>
                      </w:pPr>
                      <w:r>
                        <w:rPr>
                          <w:w w:val="110"/>
                          <w:sz w:val="16"/>
                        </w:rPr>
                        <w:t>quali gli obiettivi di investimento e la tolleranza al rischio.</w:t>
                      </w:r>
                    </w:p>
                  </w:txbxContent>
                </v:textbox>
              </v:shape>
            </w:pict>
          </mc:Fallback>
        </mc:AlternateContent>
      </w:r>
      <w:r>
        <w:rPr>
          <w:w w:val="110"/>
          <w:sz w:val="17"/>
        </w:rPr>
        <w:t>Il Gestore monitora il WACI del Fondo rispetto a quello dell’Indice e lo adegua in modo che rimanga almeno del 25% inferiore a quello dell’Indice.</w:t>
      </w:r>
    </w:p>
    <w:p>
      <w:pPr>
        <w:pStyle w:val="BodyText"/>
        <w:spacing w:before="16"/>
      </w:pPr>
    </w:p>
    <w:p>
      <w:pPr>
        <w:pStyle w:val="BodyText"/>
        <w:spacing w:line="259" w:lineRule="auto"/>
        <w:ind w:left="2400" w:right="863"/>
        <w:jc w:val="both"/>
      </w:pPr>
      <w:r>
        <w:rPr>
          <w:w w:val="110"/>
          <w:sz w:val="17"/>
        </w:rPr>
        <w:t>Il Fondo esclude i titoli di qualsiasi emittente societario che generi più del 25% dei propri ricavi dalla produzione di energia da carbone termico (oltre ai criteri stabiliti nella Politica di esclusione).</w:t>
      </w:r>
    </w:p>
    <w:p>
      <w:pPr>
        <w:pStyle w:val="BodyText"/>
        <w:spacing w:before="20"/>
      </w:pPr>
    </w:p>
    <w:p>
      <w:pPr>
        <w:pStyle w:val="BodyText"/>
        <w:spacing w:line="273" w:lineRule="auto"/>
        <w:ind w:left="2400" w:right="819"/>
        <w:jc w:val="both"/>
      </w:pPr>
      <w:r>
        <w:rPr>
          <w:w w:val="110"/>
          <w:sz w:val="17"/>
        </w:rPr>
        <w:t>Fatti salvi eventuali criteri più rigorosi di cui sopra, il Fondo applica anche la Politica di Esclusione che individua gli emittenti da escludere qualora siano stati identificati, mediante una combinazione di analisi di terze parti e/o interne, come aventi un livello predefinito di coinvolgimento nelle seguenti aree:</w:t>
      </w:r>
    </w:p>
    <w:p>
      <w:pPr>
        <w:pStyle w:val="BodyText"/>
        <w:spacing w:before="2"/>
      </w:pPr>
    </w:p>
    <w:p>
      <w:pPr>
        <w:pStyle w:val="ListParagraph"/>
        <w:numPr>
          <w:ilvl w:val="0"/>
          <w:numId w:val="2"/>
        </w:numPr>
        <w:tabs>
          <w:tab w:val="left" w:pos="2400"/>
          <w:tab w:val="left" w:pos="2641"/>
        </w:tabs>
        <w:spacing w:before="0" w:after="0" w:line="259" w:lineRule="auto"/>
        <w:ind w:left="2400" w:right="855" w:hanging="1"/>
        <w:jc w:val="both"/>
        <w:rPr>
          <w:sz w:val="18"/>
        </w:rPr>
      </w:pPr>
      <w:r>
        <w:rPr>
          <w:w w:val="110"/>
          <w:sz w:val="17"/>
        </w:rPr>
        <w:t>Produzione di armi controverse, tra cui munizioni a grappolo, mine terrestri, armi biologiche/chimiche, armi all’uranio impoverito, armi laser accecanti, armi incendiarie e/o frammenti non rilevabili;</w:t>
      </w:r>
    </w:p>
    <w:p>
      <w:pPr>
        <w:pStyle w:val="ListParagraph"/>
        <w:numPr>
          <w:ilvl w:val="0"/>
          <w:numId w:val="2"/>
        </w:numPr>
        <w:tabs>
          <w:tab w:val="left" w:pos="2581"/>
        </w:tabs>
        <w:spacing w:before="4" w:after="0" w:line="240" w:lineRule="auto"/>
        <w:ind w:left="2581" w:right="0" w:hanging="182"/>
        <w:jc w:val="left"/>
        <w:rPr>
          <w:sz w:val="18"/>
        </w:rPr>
      </w:pPr>
      <w:r>
        <w:rPr>
          <w:w w:val="110"/>
          <w:sz w:val="17"/>
        </w:rPr>
        <w:t>Produzione di armi nucleari;</w:t>
      </w:r>
    </w:p>
    <w:p>
      <w:pPr>
        <w:pStyle w:val="ListParagraph"/>
        <w:numPr>
          <w:ilvl w:val="0"/>
          <w:numId w:val="2"/>
        </w:numPr>
        <w:tabs>
          <w:tab w:val="left" w:pos="2581"/>
        </w:tabs>
        <w:spacing w:before="16" w:after="0" w:line="240" w:lineRule="auto"/>
        <w:ind w:left="2581" w:right="0" w:hanging="182"/>
        <w:jc w:val="left"/>
        <w:rPr>
          <w:sz w:val="18"/>
        </w:rPr>
      </w:pPr>
      <w:r>
        <w:rPr>
          <w:w w:val="110"/>
          <w:sz w:val="17"/>
        </w:rPr>
        <w:t>Produzione, distribuzione, vendita al dettaglio o fornitura di prodotti legati al tabacco;</w:t>
      </w:r>
    </w:p>
    <w:p>
      <w:pPr>
        <w:pStyle w:val="ListParagraph"/>
        <w:numPr>
          <w:ilvl w:val="0"/>
          <w:numId w:val="2"/>
        </w:numPr>
        <w:tabs>
          <w:tab w:val="left" w:pos="2581"/>
        </w:tabs>
        <w:spacing w:before="16" w:after="0" w:line="240" w:lineRule="auto"/>
        <w:ind w:left="2581" w:right="0" w:hanging="182"/>
        <w:jc w:val="left"/>
        <w:rPr>
          <w:sz w:val="18"/>
        </w:rPr>
      </w:pPr>
      <w:r>
        <w:rPr>
          <w:w w:val="110"/>
          <w:sz w:val="17"/>
        </w:rPr>
        <w:t>Estrazione di carbone termico o produzione di energia elettrica a base di carbone termico; e</w:t>
      </w:r>
    </w:p>
    <w:p>
      <w:pPr>
        <w:pStyle w:val="ListParagraph"/>
        <w:numPr>
          <w:ilvl w:val="0"/>
          <w:numId w:val="2"/>
        </w:numPr>
        <w:tabs>
          <w:tab w:val="left" w:pos="2581"/>
        </w:tabs>
        <w:spacing w:before="17" w:after="0" w:line="240" w:lineRule="auto"/>
        <w:ind w:left="2581" w:right="0" w:hanging="182"/>
        <w:jc w:val="left"/>
        <w:rPr>
          <w:sz w:val="18"/>
        </w:rPr>
      </w:pPr>
      <w:r>
        <w:rPr>
          <w:w w:val="110"/>
          <w:sz w:val="17"/>
        </w:rPr>
        <w:t>Produzione e estrazione di sabbie bituminose (note anche come sabbie di catrame).</w:t>
      </w:r>
    </w:p>
    <w:p>
      <w:pPr>
        <w:pStyle w:val="BodyText"/>
        <w:spacing w:before="29"/>
      </w:pPr>
    </w:p>
    <w:p>
      <w:pPr>
        <w:pStyle w:val="BodyText"/>
        <w:spacing w:before="1" w:line="259" w:lineRule="auto"/>
        <w:ind w:left="2400" w:right="850"/>
        <w:jc w:val="both"/>
      </w:pPr>
      <w:r>
        <w:rPr>
          <w:w w:val="110"/>
          <w:sz w:val="17"/>
        </w:rPr>
        <w:t>Ulteriori dettagli su come Wellington Management individua e attua le esclusioni, compresi i dettagli completi relativi alle soglie di coinvolgimento, sono disponibili nella sezione del Prospetto intitolata “Esclusioni”.</w:t>
      </w:r>
    </w:p>
    <w:p>
      <w:pPr>
        <w:pStyle w:val="Heading3"/>
        <w:spacing w:before="129" w:line="252" w:lineRule="auto"/>
        <w:ind w:left="2803"/>
      </w:pPr>
      <w:r>
        <w:rPr>
          <w:color w:val="1A365D"/>
          <w:w w:val="110"/>
          <w:sz w:val="19"/>
        </w:rPr>
        <w:t>Quali sono gli elementi vincolanti della strategia di investimento utilizzati per selezionare gli investimenti al fine di raggiungere ciascuna delle caratteristiche ambientali o sociali promosse da questo prodotto finanziario?</w:t>
      </w:r>
    </w:p>
    <w:p>
      <w:pPr>
        <w:pStyle w:val="BodyText"/>
        <w:spacing w:before="84"/>
        <w:ind w:left="2803"/>
      </w:pPr>
      <w:r>
        <w:rPr>
          <w:w w:val="110"/>
          <w:sz w:val="17"/>
        </w:rPr>
        <w:t>Il Fondo mantiene un WACI inferiore di almeno il 25% rispetto all’Indice.</w:t>
      </w:r>
    </w:p>
    <w:p>
      <w:pPr>
        <w:pStyle w:val="BodyText"/>
        <w:spacing w:before="34"/>
      </w:pPr>
    </w:p>
    <w:p>
      <w:pPr>
        <w:pStyle w:val="BodyText"/>
        <w:spacing w:line="259" w:lineRule="auto"/>
        <w:ind w:left="2803" w:right="888" w:hanging="3"/>
      </w:pPr>
      <w:r>
        <w:rPr>
          <w:w w:val="110"/>
          <w:sz w:val="17"/>
        </w:rPr>
        <w:t>Il Fondo esclude i titoli di qualsiasi emittente societario che generi più del 25% del proprio fatturato dalla produzione di energia da carbone termico.</w:t>
      </w:r>
    </w:p>
    <w:p>
      <w:pPr>
        <w:pStyle w:val="Heading3"/>
        <w:spacing w:before="132" w:line="249" w:lineRule="auto"/>
        <w:ind w:left="2810"/>
      </w:pPr>
      <w:r>
        <w:rPr>
          <w:color w:val="1A365D"/>
          <w:w w:val="110"/>
          <w:sz w:val="19"/>
        </w:rPr>
        <w:t>Qual è il tasso minimo impegnato per ridurre l’ambito degli investimenti presi in considerazione prima dell’applicazione di tale strategia di investimento?</w:t>
      </w:r>
    </w:p>
    <w:p>
      <w:pPr>
        <w:pStyle w:val="BodyText"/>
        <w:spacing w:before="88" w:line="259" w:lineRule="auto"/>
        <w:ind w:left="2810" w:right="888"/>
      </w:pPr>
      <w:r>
        <w:rPr>
          <w:w w:val="110"/>
          <w:sz w:val="17"/>
        </w:rPr>
        <w:t>Non applicabile. Il Fondo attualmente non si impegna a ridurre l’ambito degli investimenti di una percentuale minima.</w:t>
      </w:r>
    </w:p>
    <w:p>
      <w:pPr>
        <w:pStyle w:val="Heading3"/>
        <w:spacing w:before="146"/>
        <w:ind w:left="2810" w:right="0"/>
      </w:pPr>
      <w:r>
        <mc:AlternateContent>
          <mc:Choice Requires="wps">
            <w:drawing>
              <wp:anchor distT="0" distB="0" distL="0" distR="0" simplePos="0" relativeHeight="251675648" behindDoc="0" locked="0" layoutInCell="1" allowOverlap="1">
                <wp:simplePos x="0" y="0"/>
                <wp:positionH relativeFrom="page">
                  <wp:posOffset>33528</wp:posOffset>
                </wp:positionH>
                <wp:positionV relativeFrom="paragraph">
                  <wp:posOffset>56007</wp:posOffset>
                </wp:positionV>
                <wp:extent cx="1254760" cy="802005"/>
                <wp:effectExtent l="0" t="0" r="0" b="0"/>
                <wp:wrapNone/>
                <wp:docPr id="45" name="Textbox 45"/>
                <wp:cNvGraphicFramePr/>
                <a:graphic xmlns:a="http://schemas.openxmlformats.org/drawingml/2006/main">
                  <a:graphicData uri="http://schemas.microsoft.com/office/word/2010/wordprocessingShape">
                    <wps:wsp xmlns:wps="http://schemas.microsoft.com/office/word/2010/wordprocessingShape">
                      <wps:cNvSpPr txBox="1"/>
                      <wps:spPr>
                        <a:xfrm>
                          <a:off x="0" y="0"/>
                          <a:ext cx="1254760" cy="802005"/>
                        </a:xfrm>
                        <a:prstGeom prst="rect">
                          <a:avLst/>
                        </a:prstGeom>
                        <a:solidFill>
                          <a:srgbClr val="DBD8D6"/>
                        </a:solidFill>
                      </wps:spPr>
                      <wps:txbx>
                        <w:txbxContent>
                          <w:p>
                            <w:pPr>
                              <w:spacing w:before="45" w:line="259" w:lineRule="auto"/>
                              <w:ind w:left="36" w:right="128" w:firstLine="0"/>
                              <w:jc w:val="left"/>
                              <w:rPr>
                                <w:sz w:val="16"/>
                              </w:rPr>
                            </w:pPr>
                            <w:r>
                              <w:rPr>
                                <w:w w:val="110"/>
                                <w:sz w:val="15"/>
                              </w:rPr>
                              <w:t>Le</w:t>
                            </w:r>
                            <w:r>
                              <w:rPr>
                                <w:b/>
                                <w:color w:val="3382A8"/>
                                <w:w w:val="110"/>
                                <w:sz w:val="15"/>
                              </w:rPr>
                              <w:t xml:space="preserve"> buone </w:t>
                            </w:r>
                            <w:r>
                              <w:rPr>
                                <w:w w:val="110"/>
                                <w:sz w:val="15"/>
                              </w:rPr>
                              <w:t>pratiche</w:t>
                            </w:r>
                            <w:r>
                              <w:rPr>
                                <w:b/>
                                <w:color w:val="3382A8"/>
                                <w:w w:val="110"/>
                                <w:sz w:val="15"/>
                              </w:rPr>
                              <w:t xml:space="preserve"> di governance </w:t>
                            </w:r>
                            <w:r>
                              <w:rPr>
                                <w:w w:val="110"/>
                                <w:sz w:val="15"/>
                              </w:rPr>
                              <w:t>includono solide strutture gestionali, relazioni con i dipendenti, remunerazione del personale e conformità fiscale.</w:t>
                            </w:r>
                          </w:p>
                        </w:txbxContent>
                      </wps:txbx>
                      <wps:bodyPr wrap="square" lIns="0" tIns="0" rIns="0" bIns="0" rtlCol="0"/>
                    </wps:wsp>
                  </a:graphicData>
                </a:graphic>
              </wp:anchor>
            </w:drawing>
          </mc:Choice>
          <mc:Fallback>
            <w:pict>
              <v:shape id="_x0000_s1053" type="#_x0000_t202" style="width:98.8pt;height:63.15pt;margin-top:4.41pt;margin-left:2.64pt;mso-position-horizontal-relative:page;position:absolute;z-index:251676672" filled="t" fillcolor="#dbd8d6" stroked="f">
                <v:fill type="solid"/>
                <v:textbox inset="0,0,0,0">
                  <w:txbxContent>
                    <w:p>
                      <w:pPr>
                        <w:spacing w:before="45" w:line="259" w:lineRule="auto"/>
                        <w:ind w:left="36" w:right="128" w:firstLine="0"/>
                        <w:jc w:val="left"/>
                        <w:rPr>
                          <w:sz w:val="16"/>
                        </w:rPr>
                      </w:pPr>
                      <w:r>
                        <w:rPr>
                          <w:w w:val="110"/>
                          <w:sz w:val="16"/>
                        </w:rPr>
                        <w:t>Le</w:t>
                      </w:r>
                      <w:r>
                        <w:rPr>
                          <w:b/>
                          <w:color w:val="3382A8"/>
                          <w:w w:val="110"/>
                          <w:sz w:val="16"/>
                        </w:rPr>
                        <w:t xml:space="preserve"> buone </w:t>
                      </w:r>
                      <w:r>
                        <w:rPr>
                          <w:w w:val="110"/>
                          <w:sz w:val="16"/>
                        </w:rPr>
                        <w:t>pratiche</w:t>
                      </w:r>
                      <w:r>
                        <w:rPr>
                          <w:b/>
                          <w:color w:val="3382A8"/>
                          <w:w w:val="110"/>
                          <w:sz w:val="16"/>
                        </w:rPr>
                        <w:t xml:space="preserve"> di governance </w:t>
                      </w:r>
                      <w:r>
                        <w:rPr>
                          <w:w w:val="110"/>
                          <w:sz w:val="16"/>
                        </w:rPr>
                        <w:t>comprendono solide strutture gestionali, relazioni con i dipendenti, remunerazione del personale e conformità fiscale.</w:t>
                      </w:r>
                    </w:p>
                  </w:txbxContent>
                </v:textbox>
              </v:shape>
            </w:pict>
          </mc:Fallback>
        </mc:AlternateContent>
      </w:r>
      <w:r>
        <w:rPr>
          <w:color w:val="1A365D"/>
          <w:sz w:val="19"/>
        </w:rPr>
        <w:t>Qual è la politica per valutare le buone pratiche di governance delle società partecipate?</w:t>
      </w:r>
    </w:p>
    <w:p>
      <w:pPr>
        <w:pStyle w:val="BodyText"/>
        <w:spacing w:before="108" w:line="264" w:lineRule="auto"/>
        <w:ind w:left="2810" w:right="854"/>
      </w:pPr>
      <w:r>
        <w:drawing>
          <wp:anchor distT="0" distB="0" distL="0" distR="0" simplePos="0" relativeHeight="251672576" behindDoc="0" locked="0" layoutInCell="1" allowOverlap="1">
            <wp:simplePos x="0" y="0"/>
            <wp:positionH relativeFrom="page">
              <wp:posOffset>7620</wp:posOffset>
            </wp:positionH>
            <wp:positionV relativeFrom="paragraph">
              <wp:posOffset>1194956</wp:posOffset>
            </wp:positionV>
            <wp:extent cx="1437131" cy="513587"/>
            <wp:effectExtent l="0" t="0" r="0" b="0"/>
            <wp:wrapNone/>
            <wp:docPr id="46" name="Image 46"/>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xmlns:r="http://schemas.openxmlformats.org/officeDocument/2006/relationships" r:embed="rId20" cstate="print"/>
                    <a:stretch>
                      <a:fillRect/>
                    </a:stretch>
                  </pic:blipFill>
                  <pic:spPr>
                    <a:xfrm>
                      <a:off x="0" y="0"/>
                      <a:ext cx="1437131" cy="513587"/>
                    </a:xfrm>
                    <a:prstGeom prst="rect">
                      <a:avLst/>
                    </a:prstGeom>
                  </pic:spPr>
                </pic:pic>
              </a:graphicData>
            </a:graphic>
          </wp:anchor>
        </w:drawing>
      </w:r>
      <w:r>
        <w:rPr>
          <w:w w:val="110"/>
          <w:sz w:val="17"/>
        </w:rPr>
        <w:t>Le buone pratiche di governance delle società partecipate vengono valutate dal Gestore degli Investimenti alla luce di una serie di fattori, tra cui, ove materialmente rilevanti, le strutture gestionali e il processo decisionale, la responsabilità nei confronti degli azionisti, le strutture retributive, la cultura aziendale, la conformità alla normativa applicabile e l’assenza di eventi negativi che potrebbero avere un impatto negativo rilevante sui rendimenti finanziari della società. Nel valutare la buona governance, il Gestore degli investimenti tiene conto dei propri rating G, ove disponibili, in conformità con la propria Politica di valutazione della buona governance. Tali rating si basano su una combinazione di dati interni e/o esterni.</w:t>
      </w:r>
    </w:p>
    <w:p>
      <w:pPr>
        <w:pStyle w:val="BodyText"/>
      </w:pPr>
    </w:p>
    <w:p>
      <w:pPr>
        <w:pStyle w:val="BodyText"/>
        <w:spacing w:before="47"/>
      </w:pPr>
    </w:p>
    <w:p>
      <w:pPr>
        <w:pStyle w:val="Heading2"/>
        <w:ind w:left="2359"/>
        <w:jc w:val="both"/>
      </w:pPr>
      <w:r>
        <w:rPr>
          <w:color w:val="1A365D"/>
          <w:w w:val="105"/>
          <w:sz w:val="19"/>
        </w:rPr>
        <w:t>Qual è l’allocazione degli attivi prevista per questo prodotto finanziario?</w:t>
      </w:r>
    </w:p>
    <w:p>
      <w:pPr>
        <w:pStyle w:val="BodyText"/>
        <w:rPr>
          <w:b/>
          <w:sz w:val="20"/>
        </w:rPr>
      </w:pPr>
    </w:p>
    <w:p>
      <w:pPr>
        <w:pStyle w:val="BodyText"/>
        <w:spacing w:before="1"/>
        <w:rPr>
          <w:b/>
          <w:sz w:val="20"/>
        </w:rPr>
      </w:pPr>
    </w:p>
    <w:p>
      <w:pPr>
        <w:pStyle w:val="BodyText"/>
        <w:spacing w:line="259" w:lineRule="auto"/>
        <w:ind w:left="2392" w:right="871" w:hanging="3"/>
        <w:jc w:val="both"/>
      </w:pPr>
      <w:r>
        <mc:AlternateContent>
          <mc:Choice Requires="wps">
            <w:drawing>
              <wp:anchor distT="0" distB="0" distL="0" distR="0" simplePos="0" relativeHeight="251673600" behindDoc="0" locked="0" layoutInCell="1" allowOverlap="1">
                <wp:simplePos x="0" y="0"/>
                <wp:positionH relativeFrom="page">
                  <wp:posOffset>33527</wp:posOffset>
                </wp:positionH>
                <wp:positionV relativeFrom="paragraph">
                  <wp:posOffset>-33432</wp:posOffset>
                </wp:positionV>
                <wp:extent cx="1228725" cy="428625"/>
                <wp:effectExtent l="0" t="0" r="0" b="0"/>
                <wp:wrapNone/>
                <wp:docPr id="47" name="Textbox 47"/>
                <wp:cNvGraphicFramePr/>
                <a:graphic xmlns:a="http://schemas.openxmlformats.org/drawingml/2006/main">
                  <a:graphicData uri="http://schemas.microsoft.com/office/word/2010/wordprocessingShape">
                    <wps:wsp xmlns:wps="http://schemas.microsoft.com/office/word/2010/wordprocessingShape">
                      <wps:cNvSpPr txBox="1"/>
                      <wps:spPr>
                        <a:xfrm>
                          <a:off x="0" y="0"/>
                          <a:ext cx="1228725" cy="428625"/>
                        </a:xfrm>
                        <a:prstGeom prst="rect">
                          <a:avLst/>
                        </a:prstGeom>
                        <a:solidFill>
                          <a:srgbClr val="DBD8D6"/>
                        </a:solidFill>
                      </wps:spPr>
                      <wps:txbx>
                        <w:txbxContent>
                          <w:p>
                            <w:pPr>
                              <w:spacing w:before="52" w:line="259" w:lineRule="auto"/>
                              <w:ind w:left="36" w:right="40" w:firstLine="0"/>
                              <w:jc w:val="left"/>
                              <w:rPr>
                                <w:sz w:val="16"/>
                              </w:rPr>
                            </w:pPr>
                            <w:r>
                              <w:rPr>
                                <w:b/>
                                <w:color w:val="3382A8"/>
                                <w:spacing w:val="-2"/>
                                <w:w w:val="110"/>
                                <w:sz w:val="15"/>
                              </w:rPr>
                              <w:t xml:space="preserve">L’allocazione degli attivi </w:t>
                            </w:r>
                            <w:r>
                              <w:rPr>
                                <w:w w:val="110"/>
                                <w:sz w:val="15"/>
                              </w:rPr>
                              <w:t>descrive la quota di investimenti in specifici attivi.</w:t>
                            </w:r>
                          </w:p>
                        </w:txbxContent>
                      </wps:txbx>
                      <wps:bodyPr wrap="square" lIns="0" tIns="0" rIns="0" bIns="0" rtlCol="0"/>
                    </wps:wsp>
                  </a:graphicData>
                </a:graphic>
              </wp:anchor>
            </w:drawing>
          </mc:Choice>
          <mc:Fallback>
            <w:pict>
              <v:shape id="_x0000_s1054" type="#_x0000_t202" style="width:96.75pt;height:33.75pt;margin-top:-2.63pt;margin-left:2.64pt;mso-position-horizontal-relative:page;position:absolute;z-index:251674624" filled="t" fillcolor="#dbd8d6" stroked="f">
                <v:fill type="solid"/>
                <v:textbox inset="0,0,0,0">
                  <w:txbxContent>
                    <w:p>
                      <w:pPr>
                        <w:spacing w:before="52" w:line="259" w:lineRule="auto"/>
                        <w:ind w:left="36" w:right="40" w:firstLine="0"/>
                        <w:jc w:val="left"/>
                        <w:rPr>
                          <w:sz w:val="16"/>
                        </w:rPr>
                      </w:pPr>
                      <w:r>
                        <w:rPr>
                          <w:b/>
                          <w:color w:val="3382A8"/>
                          <w:spacing w:val="-2"/>
                          <w:w w:val="110"/>
                          <w:sz w:val="16"/>
                        </w:rPr>
                        <w:t xml:space="preserve">L’allocazione degli attivi </w:t>
                      </w:r>
                      <w:r>
                        <w:rPr>
                          <w:w w:val="110"/>
                          <w:sz w:val="16"/>
                        </w:rPr>
                        <w:t>descrive la quota di investimenti in specifici asset.</w:t>
                      </w:r>
                    </w:p>
                  </w:txbxContent>
                </v:textbox>
              </v:shape>
            </w:pict>
          </mc:Fallback>
        </mc:AlternateContent>
      </w:r>
      <w:r>
        <w:rPr>
          <w:w w:val="110"/>
          <w:sz w:val="17"/>
        </w:rPr>
        <w:t>In condizioni di mercato normali, almeno il 60% del patrimonio netto del Fondo sarà allineato alle caratteristiche ambientali e sociali (E/S) del Fondo.</w:t>
      </w:r>
    </w:p>
    <w:p>
      <w:pPr>
        <w:pStyle w:val="BodyText"/>
        <w:spacing w:before="17"/>
      </w:pPr>
    </w:p>
    <w:p>
      <w:pPr>
        <w:pStyle w:val="BodyText"/>
        <w:spacing w:before="1" w:line="266" w:lineRule="auto"/>
        <w:ind w:left="2392" w:right="957"/>
      </w:pPr>
      <w:r>
        <w:rPr>
          <w:w w:val="110"/>
          <w:sz w:val="17"/>
        </w:rPr>
        <w:t>Occasionalmente, a causa di possibili disallineamenti di regolamento legati ai flussi degli investitori o alle chiusure dei mercati in periodi in cui si registrano sottoscrizioni di entità rilevante, la quota del Fondo non allineata alle caratteristiche ambientali o sociali potrebbe influire sulla capacità del Fondo di rispettare l’impegno sopra descritto in condizioni di mercato normali. Il Gestore degli Investimenti non ritiene che tali fluttuazioni a breve termine incidano in modo significativo sulla capacità del Fondo di raggiungere le proprie caratteristiche ambientali o sociali.</w:t>
      </w:r>
    </w:p>
    <w:p>
      <w:pPr>
        <w:pStyle w:val="BodyText"/>
        <w:spacing w:after="0" w:line="266" w:lineRule="auto"/>
        <w:sectPr>
          <w:pgSz w:w="11910" w:h="16840"/>
          <w:pgMar w:top="1200" w:right="0" w:bottom="840" w:left="0" w:header="10" w:footer="613"/>
          <w:cols w:space="708"/>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52"/>
        <w:rPr>
          <w:sz w:val="20"/>
        </w:rPr>
      </w:pPr>
    </w:p>
    <w:p>
      <w:pPr>
        <w:spacing w:line="240" w:lineRule="auto"/>
        <w:ind w:left="2272" w:right="0" w:firstLine="0"/>
        <w:rPr>
          <w:sz w:val="20"/>
        </w:rPr>
      </w:pPr>
      <w:r>
        <w:rPr>
          <w:sz w:val="20"/>
        </w:rPr>
        <mc:AlternateContent>
          <mc:Choice Requires="wpg">
            <w:drawing>
              <wp:inline distT="0" distB="0" distL="0" distR="0">
                <wp:extent cx="5278120" cy="2083435"/>
                <wp:effectExtent l="9525" t="0" r="0" b="2539"/>
                <wp:docPr id="48" name="Group 48"/>
                <wp:cNvGraphicFramePr/>
                <a:graphic xmlns:a="http://schemas.openxmlformats.org/drawingml/2006/main">
                  <a:graphicData uri="http://schemas.microsoft.com/office/word/2010/wordprocessingGroup">
                    <wpg:wgp xmlns:wpg="http://schemas.microsoft.com/office/word/2010/wordprocessingGroup">
                      <wpg:cNvGrpSpPr/>
                      <wpg:grpSpPr>
                        <a:xfrm>
                          <a:off x="0" y="0"/>
                          <a:ext cx="5278120" cy="2083435"/>
                          <a:chOff x="0" y="0"/>
                          <a:chExt cx="5278120" cy="2083435"/>
                        </a:xfrm>
                      </wpg:grpSpPr>
                      <wps:wsp xmlns:wps="http://schemas.microsoft.com/office/word/2010/wordprocessingShape">
                        <wps:cNvPr id="49" name="Graphic 49"/>
                        <wps:cNvSpPr/>
                        <wps:spPr>
                          <a:xfrm>
                            <a:off x="0" y="0"/>
                            <a:ext cx="5278120" cy="2083435"/>
                          </a:xfrm>
                          <a:custGeom>
                            <a:avLst/>
                            <a:gdLst/>
                            <a:rect l="l" t="t" r="r" b="b"/>
                            <a:pathLst>
                              <a:path fill="norm" h="2083435" w="5278120" stroke="1">
                                <a:moveTo>
                                  <a:pt x="5277612" y="2083308"/>
                                </a:moveTo>
                                <a:lnTo>
                                  <a:pt x="0" y="2083308"/>
                                </a:lnTo>
                                <a:lnTo>
                                  <a:pt x="0" y="0"/>
                                </a:lnTo>
                                <a:lnTo>
                                  <a:pt x="5277612" y="0"/>
                                </a:lnTo>
                                <a:lnTo>
                                  <a:pt x="5277612" y="2083308"/>
                                </a:lnTo>
                                <a:close/>
                              </a:path>
                            </a:pathLst>
                          </a:custGeom>
                          <a:solidFill>
                            <a:srgbClr val="1A365D"/>
                          </a:solidFill>
                        </wps:spPr>
                        <wps:bodyPr wrap="square" lIns="0" tIns="0" rIns="0" bIns="0" rtlCol="0">
                          <a:prstTxWarp prst="textNoShape">
                            <a:avLst/>
                          </a:prstTxWarp>
                        </wps:bodyPr>
                      </wps:wsp>
                      <wps:wsp xmlns:wps="http://schemas.microsoft.com/office/word/2010/wordprocessingShape">
                        <wps:cNvPr id="50" name="Graphic 50"/>
                        <wps:cNvSpPr/>
                        <wps:spPr>
                          <a:xfrm>
                            <a:off x="2537460" y="230124"/>
                            <a:ext cx="1065530" cy="368300"/>
                          </a:xfrm>
                          <a:custGeom>
                            <a:avLst/>
                            <a:gdLst/>
                            <a:rect l="l" t="t" r="r" b="b"/>
                            <a:pathLst>
                              <a:path fill="norm" h="368300" w="1065530" stroke="1">
                                <a:moveTo>
                                  <a:pt x="1065276" y="0"/>
                                </a:moveTo>
                                <a:lnTo>
                                  <a:pt x="0" y="0"/>
                                </a:lnTo>
                                <a:lnTo>
                                  <a:pt x="0" y="367030"/>
                                </a:lnTo>
                                <a:lnTo>
                                  <a:pt x="1524" y="367030"/>
                                </a:lnTo>
                                <a:lnTo>
                                  <a:pt x="1524" y="368300"/>
                                </a:lnTo>
                                <a:lnTo>
                                  <a:pt x="1065276" y="368300"/>
                                </a:lnTo>
                                <a:lnTo>
                                  <a:pt x="1065276" y="367030"/>
                                </a:lnTo>
                                <a:lnTo>
                                  <a:pt x="1065276" y="0"/>
                                </a:lnTo>
                                <a:close/>
                              </a:path>
                            </a:pathLst>
                          </a:custGeom>
                          <a:solidFill>
                            <a:srgbClr val="6EC3E8"/>
                          </a:solidFill>
                        </wps:spPr>
                        <wps:bodyPr wrap="square" lIns="0" tIns="0" rIns="0" bIns="0" rtlCol="0">
                          <a:prstTxWarp prst="textNoShape">
                            <a:avLst/>
                          </a:prstTxWarp>
                        </wps:bodyPr>
                      </wps:wsp>
                      <wps:wsp xmlns:wps="http://schemas.microsoft.com/office/word/2010/wordprocessingShape">
                        <wps:cNvPr id="51" name="Graphic 51"/>
                        <wps:cNvSpPr/>
                        <wps:spPr>
                          <a:xfrm>
                            <a:off x="-12" y="228600"/>
                            <a:ext cx="5271770" cy="747395"/>
                          </a:xfrm>
                          <a:custGeom>
                            <a:avLst/>
                            <a:gdLst/>
                            <a:rect l="l" t="t" r="r" b="b"/>
                            <a:pathLst>
                              <a:path fill="norm" h="747395" w="5271770" stroke="1">
                                <a:moveTo>
                                  <a:pt x="1194816" y="435864"/>
                                </a:moveTo>
                                <a:lnTo>
                                  <a:pt x="1170432" y="435864"/>
                                </a:lnTo>
                                <a:lnTo>
                                  <a:pt x="1170432" y="577596"/>
                                </a:lnTo>
                                <a:lnTo>
                                  <a:pt x="1194816" y="577596"/>
                                </a:lnTo>
                                <a:lnTo>
                                  <a:pt x="1194816" y="435864"/>
                                </a:lnTo>
                                <a:close/>
                              </a:path>
                              <a:path fill="norm" h="747395" w="5271770" stroke="1">
                                <a:moveTo>
                                  <a:pt x="1194816" y="338328"/>
                                </a:moveTo>
                                <a:lnTo>
                                  <a:pt x="1170432" y="338328"/>
                                </a:lnTo>
                                <a:lnTo>
                                  <a:pt x="1170432" y="418846"/>
                                </a:lnTo>
                                <a:lnTo>
                                  <a:pt x="0" y="418846"/>
                                </a:lnTo>
                                <a:lnTo>
                                  <a:pt x="0" y="435356"/>
                                </a:lnTo>
                                <a:lnTo>
                                  <a:pt x="0" y="577596"/>
                                </a:lnTo>
                                <a:lnTo>
                                  <a:pt x="16764" y="577596"/>
                                </a:lnTo>
                                <a:lnTo>
                                  <a:pt x="16764" y="435356"/>
                                </a:lnTo>
                                <a:lnTo>
                                  <a:pt x="1194816" y="435356"/>
                                </a:lnTo>
                                <a:lnTo>
                                  <a:pt x="1194816" y="419100"/>
                                </a:lnTo>
                                <a:lnTo>
                                  <a:pt x="1194816" y="418846"/>
                                </a:lnTo>
                                <a:lnTo>
                                  <a:pt x="1194816" y="338328"/>
                                </a:lnTo>
                                <a:close/>
                              </a:path>
                              <a:path fill="norm" h="747395" w="5271770" stroke="1">
                                <a:moveTo>
                                  <a:pt x="2266200" y="173736"/>
                                </a:moveTo>
                                <a:lnTo>
                                  <a:pt x="0" y="173736"/>
                                </a:lnTo>
                                <a:lnTo>
                                  <a:pt x="0" y="190246"/>
                                </a:lnTo>
                                <a:lnTo>
                                  <a:pt x="0" y="338836"/>
                                </a:lnTo>
                                <a:lnTo>
                                  <a:pt x="16764" y="338836"/>
                                </a:lnTo>
                                <a:lnTo>
                                  <a:pt x="16764" y="190246"/>
                                </a:lnTo>
                                <a:lnTo>
                                  <a:pt x="2266200" y="190246"/>
                                </a:lnTo>
                                <a:lnTo>
                                  <a:pt x="2266200" y="173736"/>
                                </a:lnTo>
                                <a:close/>
                              </a:path>
                              <a:path fill="norm" h="747395" w="5271770" stroke="1">
                                <a:moveTo>
                                  <a:pt x="2267724" y="417576"/>
                                </a:moveTo>
                                <a:lnTo>
                                  <a:pt x="2206764" y="417576"/>
                                </a:lnTo>
                                <a:lnTo>
                                  <a:pt x="2206764" y="435864"/>
                                </a:lnTo>
                                <a:lnTo>
                                  <a:pt x="2267724" y="435864"/>
                                </a:lnTo>
                                <a:lnTo>
                                  <a:pt x="2267724" y="417576"/>
                                </a:lnTo>
                                <a:close/>
                              </a:path>
                              <a:path fill="norm" h="747395" w="5271770" stroke="1">
                                <a:moveTo>
                                  <a:pt x="2514600" y="172212"/>
                                </a:moveTo>
                                <a:lnTo>
                                  <a:pt x="2394216" y="172212"/>
                                </a:lnTo>
                                <a:lnTo>
                                  <a:pt x="2394216" y="190500"/>
                                </a:lnTo>
                                <a:lnTo>
                                  <a:pt x="2514600" y="190500"/>
                                </a:lnTo>
                                <a:lnTo>
                                  <a:pt x="2514600" y="172212"/>
                                </a:lnTo>
                                <a:close/>
                              </a:path>
                              <a:path fill="norm" h="747395" w="5271770" stroke="1">
                                <a:moveTo>
                                  <a:pt x="2543556" y="419608"/>
                                </a:moveTo>
                                <a:lnTo>
                                  <a:pt x="2519184" y="419608"/>
                                </a:lnTo>
                                <a:lnTo>
                                  <a:pt x="2519184" y="436372"/>
                                </a:lnTo>
                                <a:lnTo>
                                  <a:pt x="2514600" y="436372"/>
                                </a:lnTo>
                                <a:lnTo>
                                  <a:pt x="2514600" y="577342"/>
                                </a:lnTo>
                                <a:lnTo>
                                  <a:pt x="2519184" y="577342"/>
                                </a:lnTo>
                                <a:lnTo>
                                  <a:pt x="2519184" y="747268"/>
                                </a:lnTo>
                                <a:lnTo>
                                  <a:pt x="2543556" y="747268"/>
                                </a:lnTo>
                                <a:lnTo>
                                  <a:pt x="2543556" y="419608"/>
                                </a:lnTo>
                                <a:close/>
                              </a:path>
                              <a:path fill="norm" h="747395" w="5271770" stroke="1">
                                <a:moveTo>
                                  <a:pt x="5271528" y="172212"/>
                                </a:moveTo>
                                <a:lnTo>
                                  <a:pt x="3602748" y="172212"/>
                                </a:lnTo>
                                <a:lnTo>
                                  <a:pt x="3602748" y="190500"/>
                                </a:lnTo>
                                <a:lnTo>
                                  <a:pt x="5271528" y="190500"/>
                                </a:lnTo>
                                <a:lnTo>
                                  <a:pt x="5271528" y="172212"/>
                                </a:lnTo>
                                <a:close/>
                              </a:path>
                              <a:path fill="norm" h="747395" w="5271770" stroke="1">
                                <a:moveTo>
                                  <a:pt x="5271528" y="0"/>
                                </a:moveTo>
                                <a:lnTo>
                                  <a:pt x="3602748" y="0"/>
                                </a:lnTo>
                                <a:lnTo>
                                  <a:pt x="3602748" y="16764"/>
                                </a:lnTo>
                                <a:lnTo>
                                  <a:pt x="5271528" y="16764"/>
                                </a:lnTo>
                                <a:lnTo>
                                  <a:pt x="5271528" y="0"/>
                                </a:lnTo>
                                <a:close/>
                              </a:path>
                            </a:pathLst>
                          </a:custGeom>
                          <a:solidFill>
                            <a:srgbClr val="1A365D"/>
                          </a:solidFill>
                        </wps:spPr>
                        <wps:bodyPr wrap="square" lIns="0" tIns="0" rIns="0" bIns="0" rtlCol="0">
                          <a:prstTxWarp prst="textNoShape">
                            <a:avLst/>
                          </a:prstTxWarp>
                        </wps:bodyPr>
                      </wps:wsp>
                      <wps:wsp xmlns:wps="http://schemas.microsoft.com/office/word/2010/wordprocessingShape">
                        <wps:cNvPr id="52" name="Graphic 52"/>
                        <wps:cNvSpPr/>
                        <wps:spPr>
                          <a:xfrm>
                            <a:off x="2543556" y="647700"/>
                            <a:ext cx="1059180" cy="327660"/>
                          </a:xfrm>
                          <a:custGeom>
                            <a:avLst/>
                            <a:gdLst/>
                            <a:rect l="l" t="t" r="r" b="b"/>
                            <a:pathLst>
                              <a:path fill="norm" h="327660" w="1059180" stroke="1">
                                <a:moveTo>
                                  <a:pt x="1059179" y="327660"/>
                                </a:moveTo>
                                <a:lnTo>
                                  <a:pt x="0" y="327660"/>
                                </a:lnTo>
                                <a:lnTo>
                                  <a:pt x="0" y="0"/>
                                </a:lnTo>
                                <a:lnTo>
                                  <a:pt x="1059179" y="0"/>
                                </a:lnTo>
                                <a:lnTo>
                                  <a:pt x="1059179" y="327660"/>
                                </a:lnTo>
                                <a:close/>
                              </a:path>
                            </a:pathLst>
                          </a:custGeom>
                          <a:solidFill>
                            <a:srgbClr val="DBD8D6"/>
                          </a:solidFill>
                        </wps:spPr>
                        <wps:bodyPr wrap="square" lIns="0" tIns="0" rIns="0" bIns="0" rtlCol="0">
                          <a:prstTxWarp prst="textNoShape">
                            <a:avLst/>
                          </a:prstTxWarp>
                        </wps:bodyPr>
                      </wps:wsp>
                      <wps:wsp xmlns:wps="http://schemas.microsoft.com/office/word/2010/wordprocessingShape">
                        <wps:cNvPr id="53" name="Graphic 53"/>
                        <wps:cNvSpPr/>
                        <wps:spPr>
                          <a:xfrm>
                            <a:off x="0" y="646176"/>
                            <a:ext cx="5271770" cy="520700"/>
                          </a:xfrm>
                          <a:custGeom>
                            <a:avLst/>
                            <a:gdLst/>
                            <a:rect l="l" t="t" r="r" b="b"/>
                            <a:pathLst>
                              <a:path fill="norm" h="520700" w="5271770" stroke="1">
                                <a:moveTo>
                                  <a:pt x="2266188" y="160020"/>
                                </a:moveTo>
                                <a:lnTo>
                                  <a:pt x="0" y="160020"/>
                                </a:lnTo>
                                <a:lnTo>
                                  <a:pt x="0" y="175260"/>
                                </a:lnTo>
                                <a:lnTo>
                                  <a:pt x="0" y="295910"/>
                                </a:lnTo>
                                <a:lnTo>
                                  <a:pt x="16764" y="295910"/>
                                </a:lnTo>
                                <a:lnTo>
                                  <a:pt x="16764" y="175260"/>
                                </a:lnTo>
                                <a:lnTo>
                                  <a:pt x="2266188" y="175260"/>
                                </a:lnTo>
                                <a:lnTo>
                                  <a:pt x="2266188" y="160020"/>
                                </a:lnTo>
                                <a:close/>
                              </a:path>
                              <a:path fill="norm" h="520700" w="5271770" stroke="1">
                                <a:moveTo>
                                  <a:pt x="2519172" y="160020"/>
                                </a:moveTo>
                                <a:lnTo>
                                  <a:pt x="2394204" y="160020"/>
                                </a:lnTo>
                                <a:lnTo>
                                  <a:pt x="2394204" y="175260"/>
                                </a:lnTo>
                                <a:lnTo>
                                  <a:pt x="2514600" y="175260"/>
                                </a:lnTo>
                                <a:lnTo>
                                  <a:pt x="2514600" y="295910"/>
                                </a:lnTo>
                                <a:lnTo>
                                  <a:pt x="2519172" y="295910"/>
                                </a:lnTo>
                                <a:lnTo>
                                  <a:pt x="2519172" y="175260"/>
                                </a:lnTo>
                                <a:lnTo>
                                  <a:pt x="2519172" y="160020"/>
                                </a:lnTo>
                                <a:close/>
                              </a:path>
                              <a:path fill="norm" h="520700" w="5271770" stroke="1">
                                <a:moveTo>
                                  <a:pt x="5271516" y="495300"/>
                                </a:moveTo>
                                <a:lnTo>
                                  <a:pt x="2519172" y="495300"/>
                                </a:lnTo>
                                <a:lnTo>
                                  <a:pt x="2519172" y="346456"/>
                                </a:lnTo>
                                <a:lnTo>
                                  <a:pt x="5269979" y="346456"/>
                                </a:lnTo>
                                <a:lnTo>
                                  <a:pt x="5269979" y="328676"/>
                                </a:lnTo>
                                <a:lnTo>
                                  <a:pt x="2519172" y="328676"/>
                                </a:lnTo>
                                <a:lnTo>
                                  <a:pt x="2519172" y="345440"/>
                                </a:lnTo>
                                <a:lnTo>
                                  <a:pt x="2514600" y="345440"/>
                                </a:lnTo>
                                <a:lnTo>
                                  <a:pt x="2514600" y="495300"/>
                                </a:lnTo>
                                <a:lnTo>
                                  <a:pt x="16764" y="495300"/>
                                </a:lnTo>
                                <a:lnTo>
                                  <a:pt x="16764" y="345440"/>
                                </a:lnTo>
                                <a:lnTo>
                                  <a:pt x="0" y="345440"/>
                                </a:lnTo>
                                <a:lnTo>
                                  <a:pt x="0" y="495300"/>
                                </a:lnTo>
                                <a:lnTo>
                                  <a:pt x="0" y="520700"/>
                                </a:lnTo>
                                <a:lnTo>
                                  <a:pt x="5271516" y="520700"/>
                                </a:lnTo>
                                <a:lnTo>
                                  <a:pt x="5271516" y="495300"/>
                                </a:lnTo>
                                <a:close/>
                              </a:path>
                              <a:path fill="norm" h="520700" w="5271770" stroke="1">
                                <a:moveTo>
                                  <a:pt x="5271516" y="158496"/>
                                </a:moveTo>
                                <a:lnTo>
                                  <a:pt x="3602736" y="158496"/>
                                </a:lnTo>
                                <a:lnTo>
                                  <a:pt x="3602736" y="175260"/>
                                </a:lnTo>
                                <a:lnTo>
                                  <a:pt x="5271516" y="175260"/>
                                </a:lnTo>
                                <a:lnTo>
                                  <a:pt x="5271516" y="158496"/>
                                </a:lnTo>
                                <a:close/>
                              </a:path>
                              <a:path fill="norm" h="520700" w="5271770" stroke="1">
                                <a:moveTo>
                                  <a:pt x="5271516" y="0"/>
                                </a:moveTo>
                                <a:lnTo>
                                  <a:pt x="3602736" y="0"/>
                                </a:lnTo>
                                <a:lnTo>
                                  <a:pt x="3602736" y="18288"/>
                                </a:lnTo>
                                <a:lnTo>
                                  <a:pt x="5271516" y="18288"/>
                                </a:lnTo>
                                <a:lnTo>
                                  <a:pt x="5271516" y="0"/>
                                </a:lnTo>
                                <a:close/>
                              </a:path>
                            </a:pathLst>
                          </a:custGeom>
                          <a:solidFill>
                            <a:srgbClr val="1A365D"/>
                          </a:solidFill>
                        </wps:spPr>
                        <wps:bodyPr wrap="square" lIns="0" tIns="0" rIns="0" bIns="0" rtlCol="0">
                          <a:prstTxWarp prst="textNoShape">
                            <a:avLst/>
                          </a:prstTxWarp>
                        </wps:bodyPr>
                      </wps:wsp>
                      <pic:pic xmlns:pic="http://schemas.openxmlformats.org/drawingml/2006/picture">
                        <pic:nvPicPr>
                          <pic:cNvPr id="54" name="Image 54"/>
                          <pic:cNvPicPr/>
                        </pic:nvPicPr>
                        <pic:blipFill>
                          <a:blip xmlns:r="http://schemas.openxmlformats.org/officeDocument/2006/relationships" r:embed="rId21" cstate="print"/>
                          <a:stretch>
                            <a:fillRect/>
                          </a:stretch>
                        </pic:blipFill>
                        <pic:spPr>
                          <a:xfrm>
                            <a:off x="2270760" y="402335"/>
                            <a:ext cx="126491" cy="498348"/>
                          </a:xfrm>
                          <a:prstGeom prst="rect">
                            <a:avLst/>
                          </a:prstGeom>
                        </pic:spPr>
                      </pic:pic>
                      <wps:wsp xmlns:wps="http://schemas.microsoft.com/office/word/2010/wordprocessingShape">
                        <wps:cNvPr id="55" name="Graphic 55"/>
                        <wps:cNvSpPr/>
                        <wps:spPr>
                          <a:xfrm>
                            <a:off x="1194816" y="565403"/>
                            <a:ext cx="1012190" cy="241300"/>
                          </a:xfrm>
                          <a:custGeom>
                            <a:avLst/>
                            <a:gdLst/>
                            <a:rect l="l" t="t" r="r" b="b"/>
                            <a:pathLst>
                              <a:path fill="norm" h="241300" w="1012190" stroke="1">
                                <a:moveTo>
                                  <a:pt x="1011936" y="240791"/>
                                </a:moveTo>
                                <a:lnTo>
                                  <a:pt x="0" y="240791"/>
                                </a:lnTo>
                                <a:lnTo>
                                  <a:pt x="0" y="0"/>
                                </a:lnTo>
                                <a:lnTo>
                                  <a:pt x="1011936" y="0"/>
                                </a:lnTo>
                                <a:lnTo>
                                  <a:pt x="1011936" y="240791"/>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56" name="Textbox 56"/>
                        <wps:cNvSpPr txBox="1"/>
                        <wps:spPr>
                          <a:xfrm>
                            <a:off x="0" y="0"/>
                            <a:ext cx="5278120" cy="2083435"/>
                          </a:xfrm>
                          <a:prstGeom prst="rect">
                            <a:avLst/>
                          </a:prstGeom>
                        </wps:spPr>
                        <wps:txbx>
                          <w:txbxContent>
                            <w:p>
                              <w:pPr>
                                <w:spacing w:before="0" w:line="240" w:lineRule="auto"/>
                                <w:rPr>
                                  <w:sz w:val="16"/>
                                </w:rPr>
                              </w:pPr>
                            </w:p>
                            <w:p>
                              <w:pPr>
                                <w:spacing w:before="92" w:line="240" w:lineRule="auto"/>
                                <w:rPr>
                                  <w:sz w:val="16"/>
                                </w:rPr>
                              </w:pPr>
                            </w:p>
                            <w:p>
                              <w:pPr>
                                <w:spacing w:before="0" w:line="259" w:lineRule="auto"/>
                                <w:ind w:left="3638" w:right="2246" w:firstLine="0"/>
                                <w:jc w:val="center"/>
                                <w:rPr>
                                  <w:sz w:val="16"/>
                                </w:rPr>
                              </w:pPr>
                              <w:r>
                                <w:rPr>
                                  <w:color w:val="FFFFFF"/>
                                  <w:spacing w:val="-2"/>
                                  <w:w w:val="115"/>
                                  <w:sz w:val="15"/>
                                </w:rPr>
                                <w:t xml:space="preserve">#1 </w:t>
                              </w:r>
                              <w:r>
                                <w:rPr>
                                  <w:color w:val="FFFFFF"/>
                                  <w:spacing w:val="-2"/>
                                  <w:w w:val="115"/>
                                  <w:sz w:val="15"/>
                                </w:rPr>
                                <w:t xml:space="preserve">In linea </w:t>
                              </w:r>
                              <w:r>
                                <w:rPr>
                                  <w:color w:val="FFFFFF"/>
                                  <w:spacing w:val="-2"/>
                                  <w:w w:val="115"/>
                                  <w:sz w:val="15"/>
                                </w:rPr>
                                <w:t xml:space="preserve">con </w:t>
                              </w:r>
                              <w:r>
                                <w:rPr>
                                  <w:color w:val="FFFFFF"/>
                                  <w:spacing w:val="-2"/>
                                  <w:w w:val="115"/>
                                  <w:sz w:val="15"/>
                                </w:rPr>
                                <w:t>le caratteristiche di ingresso/uscita</w:t>
                              </w:r>
                            </w:p>
                            <w:p>
                              <w:pPr>
                                <w:spacing w:before="143" w:line="240" w:lineRule="auto"/>
                                <w:rPr>
                                  <w:sz w:val="16"/>
                                </w:rPr>
                              </w:pPr>
                            </w:p>
                            <w:p>
                              <w:pPr>
                                <w:spacing w:before="0"/>
                                <w:ind w:left="3638" w:right="2248" w:firstLine="0"/>
                                <w:jc w:val="center"/>
                                <w:rPr>
                                  <w:sz w:val="16"/>
                                </w:rPr>
                              </w:pPr>
                              <w:r>
                                <w:rPr>
                                  <w:spacing w:val="-4"/>
                                  <w:w w:val="110"/>
                                  <w:sz w:val="15"/>
                                </w:rPr>
                                <w:t>#2 Altro</w:t>
                              </w:r>
                            </w:p>
                            <w:p>
                              <w:pPr>
                                <w:spacing w:before="0" w:line="240" w:lineRule="auto"/>
                                <w:rPr>
                                  <w:sz w:val="16"/>
                                </w:rPr>
                              </w:pPr>
                            </w:p>
                            <w:p>
                              <w:pPr>
                                <w:spacing w:before="0" w:line="240" w:lineRule="auto"/>
                                <w:rPr>
                                  <w:sz w:val="16"/>
                                </w:rPr>
                              </w:pPr>
                            </w:p>
                            <w:p>
                              <w:pPr>
                                <w:spacing w:before="150" w:line="240" w:lineRule="auto"/>
                                <w:rPr>
                                  <w:sz w:val="16"/>
                                </w:rPr>
                              </w:pPr>
                            </w:p>
                            <w:p>
                              <w:pPr>
                                <w:spacing w:before="1" w:line="261" w:lineRule="auto"/>
                                <w:ind w:left="110" w:right="99" w:firstLine="0"/>
                                <w:jc w:val="left"/>
                                <w:rPr>
                                  <w:sz w:val="18"/>
                                </w:rPr>
                              </w:pPr>
                              <w:r>
                                <w:rPr>
                                  <w:b/>
                                  <w:color w:val="FFFFFF"/>
                                  <w:w w:val="110"/>
                                  <w:sz w:val="17"/>
                                </w:rPr>
                                <w:t xml:space="preserve">#1 "In linea con le caratteristiche ambientali e sociali" </w:t>
                              </w:r>
                              <w:r>
                                <w:rPr>
                                  <w:color w:val="FFFFFF"/>
                                  <w:w w:val="110"/>
                                  <w:sz w:val="17"/>
                                </w:rPr>
                                <w:t>comprende gli investimenti del prodotto finanziario utilizzati per raggiungere le caratteristiche ambientali o sociali promosse dal prodotto stesso.</w:t>
                              </w:r>
                            </w:p>
                            <w:p>
                              <w:pPr>
                                <w:spacing w:before="13" w:line="240" w:lineRule="auto"/>
                                <w:rPr>
                                  <w:sz w:val="18"/>
                                </w:rPr>
                              </w:pPr>
                            </w:p>
                            <w:p>
                              <w:pPr>
                                <w:spacing w:before="0" w:line="261" w:lineRule="auto"/>
                                <w:ind w:left="110" w:right="99" w:firstLine="0"/>
                                <w:jc w:val="left"/>
                                <w:rPr>
                                  <w:sz w:val="18"/>
                                </w:rPr>
                              </w:pPr>
                              <w:r>
                                <w:rPr>
                                  <w:b/>
                                  <w:color w:val="FFFFFF"/>
                                  <w:w w:val="110"/>
                                  <w:sz w:val="17"/>
                                </w:rPr>
                                <w:t xml:space="preserve">#2 "Altro" </w:t>
                              </w:r>
                              <w:r>
                                <w:rPr>
                                  <w:color w:val="FFFFFF"/>
                                  <w:w w:val="110"/>
                                  <w:sz w:val="17"/>
                                </w:rPr>
                                <w:t>comprende i restanti investimenti del prodotto finanziario che non sono né allineati alle caratteristiche ambientali o sociali, né qualificabili come investimenti sostenibili.</w:t>
                              </w:r>
                            </w:p>
                          </w:txbxContent>
                        </wps:txbx>
                        <wps:bodyPr wrap="square" lIns="0" tIns="0" rIns="0" bIns="0" rtlCol="0"/>
                      </wps:wsp>
                      <wps:wsp xmlns:wps="http://schemas.microsoft.com/office/word/2010/wordprocessingShape">
                        <wps:cNvPr id="57" name="Textbox 57"/>
                        <wps:cNvSpPr txBox="1"/>
                        <wps:spPr>
                          <a:xfrm>
                            <a:off x="1194816" y="565403"/>
                            <a:ext cx="1012190" cy="241300"/>
                          </a:xfrm>
                          <a:prstGeom prst="rect">
                            <a:avLst/>
                          </a:prstGeom>
                        </wps:spPr>
                        <wps:txbx>
                          <w:txbxContent>
                            <w:p>
                              <w:pPr>
                                <w:spacing w:before="100"/>
                                <w:ind w:left="372" w:right="0" w:firstLine="0"/>
                                <w:jc w:val="left"/>
                                <w:rPr>
                                  <w:sz w:val="16"/>
                                </w:rPr>
                              </w:pPr>
                              <w:r>
                                <w:rPr>
                                  <w:spacing w:val="-2"/>
                                  <w:w w:val="110"/>
                                  <w:sz w:val="15"/>
                                </w:rPr>
                                <w:t>Investimenti</w:t>
                              </w:r>
                            </w:p>
                          </w:txbxContent>
                        </wps:txbx>
                        <wps:bodyPr wrap="square" lIns="0" tIns="0" rIns="0" bIns="0" rtlCol="0"/>
                      </wps:wsp>
                    </wpg:wgp>
                  </a:graphicData>
                </a:graphic>
              </wp:inline>
            </w:drawing>
          </mc:Choice>
          <mc:Fallback>
            <w:pict>
              <v:group id="_x0000_i1055" style="width:415.6pt;height:164.05pt;mso-position-horizontal-relative:char;mso-position-vertical-relative:line" coordorigin="0,0" coordsize="8312,3281">
                <v:rect id="_x0000_s1056" style="width:8312;height:3281;position:absolute" filled="t" fillcolor="#1a365d" stroked="f">
                  <v:fill type="solid"/>
                </v:rect>
                <v:shape id="_x0000_s1057" style="width:1678;height:580;left:3996;position:absolute;top:362" coordorigin="3996,362" coordsize="1678,580" path="m5674,362l3996,362,3996,940,3998,940,3998,942,5674,942,5674,940,5674,362xe" filled="t" fillcolor="#6ec3e8" stroked="f">
                  <v:fill type="solid"/>
                  <v:path arrowok="t"/>
                </v:shape>
                <v:shape id="_x0000_s1058" style="width:8302;height:1177;left:-1;position:absolute;top:360" coordorigin="0,360" coordsize="8302,1177" path="m1882,1046l1843,1046,1843,1270,1882,1270,1882,1046xm1882,893l1843,893,1843,1020,,1020,,1046,,1270,26,1270,26,1046,1882,1046,1882,1020,1882,1020,1882,893xm3569,634l,634,,660,,894,26,894,26,660,3569,660,3569,634xm3571,1018l3475,1018,3475,1046,3571,1046,3571,1018xm3960,631l3770,631,3770,660,3960,660,3960,631xm4006,1021l3967,1021,3967,1047,3960,1047,3960,1269,3967,1269,3967,1537,4006,1537,4006,1021xm8302,631l5674,631,5674,660,8302,660,8302,631xm8302,360l5674,360,5674,386,8302,386,8302,360xe" filled="t" fillcolor="#1a365d" stroked="f">
                  <v:fill type="solid"/>
                  <v:path arrowok="t"/>
                </v:shape>
                <v:rect id="_x0000_s1059" style="width:1668;height:516;left:4005;position:absolute;top:1020" filled="t" fillcolor="#dbd8d6" stroked="f">
                  <v:fill type="solid"/>
                </v:rect>
                <v:shape id="_x0000_s1060" style="width:8302;height:820;position:absolute;top:1017" coordorigin="0,1018" coordsize="8302,820" path="m3569,1270l,1270,,1294,,1484,26,1484,26,1294,3569,1294,3569,1270xm3967,1270l3770,1270,3770,1294,3960,1294,3960,1484,3967,1484,3967,1294,3967,1270xm8302,1798l3967,1798,3967,1563,8299,1563,8299,1535,3967,1535,3967,1562,3960,1562,3960,1798,26,1798,26,1562,,1562,,1798,,1838,8302,1838,8302,1798xm8302,1267l5674,1267,5674,1294,8302,1294,8302,1267xm8302,1018l5674,1018,5674,1046,8302,1046,8302,1018xe" filled="t" fillcolor="#1a365d" stroked="f">
                  <v:fill type="solid"/>
                  <v:path arrowok="t"/>
                </v:shape>
                <v:shape id="_x0000_s1061" type="#_x0000_t75" style="width:200;height:785;left:3576;position:absolute;top:633" stroked="f">
                  <v:imagedata r:id="rId21" o:title=""/>
                </v:shape>
                <v:rect id="_x0000_s1062" style="width:1594;height:380;left:1881;position:absolute;top:890" filled="t" fillcolor="white" stroked="f">
                  <v:fill type="solid"/>
                </v:rect>
                <v:shape id="_x0000_s1063" type="#_x0000_t202" style="width:8312;height:3281;position:absolute" filled="f" stroked="f">
                  <v:textbox inset="0,0,0,0">
                    <w:txbxContent>
                      <w:p>
                        <w:pPr>
                          <w:spacing w:before="0" w:line="240" w:lineRule="auto"/>
                          <w:rPr>
                            <w:sz w:val="16"/>
                          </w:rPr>
                        </w:pPr>
                      </w:p>
                      <w:p>
                        <w:pPr>
                          <w:spacing w:before="92" w:line="240" w:lineRule="auto"/>
                          <w:rPr>
                            <w:sz w:val="16"/>
                          </w:rPr>
                        </w:pPr>
                      </w:p>
                      <w:p>
                        <w:pPr>
                          <w:spacing w:before="0" w:line="259" w:lineRule="auto"/>
                          <w:ind w:left="3638" w:right="2246" w:firstLine="0"/>
                          <w:jc w:val="center"/>
                          <w:rPr>
                            <w:sz w:val="16"/>
                          </w:rPr>
                        </w:pPr>
                        <w:r>
                          <w:rPr>
                            <w:color w:val="FFFFFF"/>
                            <w:spacing w:val="-2"/>
                            <w:w w:val="115"/>
                            <w:sz w:val="16"/>
                          </w:rPr>
                          <w:t xml:space="preserve">#1 </w:t>
                        </w:r>
                        <w:r>
                          <w:rPr>
                            <w:color w:val="FFFFFF"/>
                            <w:spacing w:val="-2"/>
                            <w:w w:val="115"/>
                            <w:sz w:val="16"/>
                          </w:rPr>
                          <w:t xml:space="preserve">Allineati </w:t>
                        </w:r>
                        <w:r>
                          <w:rPr>
                            <w:color w:val="FFFFFF"/>
                            <w:spacing w:val="-2"/>
                            <w:w w:val="115"/>
                            <w:sz w:val="16"/>
                          </w:rPr>
                          <w:t xml:space="preserve">alle </w:t>
                        </w:r>
                        <w:r>
                          <w:rPr>
                            <w:color w:val="FFFFFF"/>
                            <w:spacing w:val="-2"/>
                            <w:w w:val="115"/>
                            <w:sz w:val="16"/>
                          </w:rPr>
                          <w:t>caratteristiche ambientali e sociali</w:t>
                        </w:r>
                      </w:p>
                      <w:p>
                        <w:pPr>
                          <w:spacing w:before="143" w:line="240" w:lineRule="auto"/>
                          <w:rPr>
                            <w:sz w:val="16"/>
                          </w:rPr>
                        </w:pPr>
                      </w:p>
                      <w:p>
                        <w:pPr>
                          <w:spacing w:before="0"/>
                          <w:ind w:left="3638" w:right="2248" w:firstLine="0"/>
                          <w:jc w:val="center"/>
                          <w:rPr>
                            <w:sz w:val="16"/>
                          </w:rPr>
                        </w:pPr>
                        <w:r>
                          <w:rPr>
                            <w:spacing w:val="-4"/>
                            <w:w w:val="110"/>
                            <w:sz w:val="16"/>
                          </w:rPr>
                          <w:t>#2 Altro</w:t>
                        </w:r>
                      </w:p>
                      <w:p>
                        <w:pPr>
                          <w:spacing w:before="0" w:line="240" w:lineRule="auto"/>
                          <w:rPr>
                            <w:sz w:val="16"/>
                          </w:rPr>
                        </w:pPr>
                      </w:p>
                      <w:p>
                        <w:pPr>
                          <w:spacing w:before="0" w:line="240" w:lineRule="auto"/>
                          <w:rPr>
                            <w:sz w:val="16"/>
                          </w:rPr>
                        </w:pPr>
                      </w:p>
                      <w:p>
                        <w:pPr>
                          <w:spacing w:before="150" w:line="240" w:lineRule="auto"/>
                          <w:rPr>
                            <w:sz w:val="16"/>
                          </w:rPr>
                        </w:pPr>
                      </w:p>
                      <w:p>
                        <w:pPr>
                          <w:spacing w:before="1" w:line="261" w:lineRule="auto"/>
                          <w:ind w:left="110" w:right="99" w:firstLine="0"/>
                          <w:jc w:val="left"/>
                          <w:rPr>
                            <w:sz w:val="18"/>
                          </w:rPr>
                        </w:pPr>
                        <w:r>
                          <w:rPr>
                            <w:b/>
                            <w:color w:val="FFFFFF"/>
                            <w:w w:val="110"/>
                            <w:sz w:val="18"/>
                          </w:rPr>
                          <w:t xml:space="preserve">#1 "Allineati alle caratteristiche ambientali e sociali" </w:t>
                        </w:r>
                        <w:r>
                          <w:rPr>
                            <w:color w:val="FFFFFF"/>
                            <w:w w:val="110"/>
                            <w:sz w:val="18"/>
                          </w:rPr>
                          <w:t>comprende gli investimenti del prodotto finanziario utilizzati per conseguire le caratteristiche ambientali o sociali promosse dal prodotto stesso.</w:t>
                        </w:r>
                      </w:p>
                      <w:p>
                        <w:pPr>
                          <w:spacing w:before="13" w:line="240" w:lineRule="auto"/>
                          <w:rPr>
                            <w:sz w:val="18"/>
                          </w:rPr>
                        </w:pPr>
                      </w:p>
                      <w:p>
                        <w:pPr>
                          <w:spacing w:before="0" w:line="261" w:lineRule="auto"/>
                          <w:ind w:left="110" w:right="99" w:firstLine="0"/>
                          <w:jc w:val="left"/>
                          <w:rPr>
                            <w:sz w:val="18"/>
                          </w:rPr>
                        </w:pPr>
                        <w:r>
                          <w:rPr>
                            <w:b/>
                            <w:color w:val="FFFFFF"/>
                            <w:w w:val="110"/>
                            <w:sz w:val="18"/>
                          </w:rPr>
                          <w:t xml:space="preserve">#2 La voce “Altro” </w:t>
                        </w:r>
                        <w:r>
                          <w:rPr>
                            <w:color w:val="FFFFFF"/>
                            <w:w w:val="110"/>
                            <w:sz w:val="18"/>
                          </w:rPr>
                          <w:t>comprende i restanti investimenti del prodotto finanziario che non sono né allineati alle caratteristiche ambientali o sociali, né qualificabili come investimenti sostenibili.</w:t>
                        </w:r>
                      </w:p>
                    </w:txbxContent>
                  </v:textbox>
                </v:shape>
                <v:shape id="_x0000_s1064" type="#_x0000_t202" style="width:1594;height:380;left:1881;position:absolute;top:890" filled="f" stroked="f">
                  <v:textbox inset="0,0,0,0">
                    <w:txbxContent>
                      <w:p>
                        <w:pPr>
                          <w:spacing w:before="100"/>
                          <w:ind w:left="372" w:right="0" w:firstLine="0"/>
                          <w:jc w:val="left"/>
                          <w:rPr>
                            <w:sz w:val="16"/>
                          </w:rPr>
                        </w:pPr>
                        <w:r>
                          <w:rPr>
                            <w:spacing w:val="-2"/>
                            <w:w w:val="110"/>
                            <w:sz w:val="16"/>
                          </w:rPr>
                          <w:t>Investimenti</w:t>
                        </w:r>
                      </w:p>
                    </w:txbxContent>
                  </v:textbox>
                </v:shape>
              </v:group>
            </w:pict>
          </mc:Fallback>
        </mc:AlternateContent>
      </w:r>
    </w:p>
    <w:p>
      <w:pPr>
        <w:pStyle w:val="Heading3"/>
        <w:spacing w:line="249" w:lineRule="auto"/>
        <w:ind w:left="2315" w:right="957"/>
      </w:pPr>
      <w:r>
        <mc:AlternateContent>
          <mc:Choice Requires="wps">
            <w:drawing>
              <wp:anchor distT="0" distB="0" distL="0" distR="0" simplePos="0" relativeHeight="251680768" behindDoc="0" locked="0" layoutInCell="1" allowOverlap="1">
                <wp:simplePos x="0" y="0"/>
                <wp:positionH relativeFrom="page">
                  <wp:posOffset>32003</wp:posOffset>
                </wp:positionH>
                <wp:positionV relativeFrom="paragraph">
                  <wp:posOffset>100329</wp:posOffset>
                </wp:positionV>
                <wp:extent cx="1248410" cy="3823970"/>
                <wp:effectExtent l="0" t="0" r="0" b="0"/>
                <wp:wrapNone/>
                <wp:docPr id="58" name="Textbox 58"/>
                <wp:cNvGraphicFramePr/>
                <a:graphic xmlns:a="http://schemas.openxmlformats.org/drawingml/2006/main">
                  <a:graphicData uri="http://schemas.microsoft.com/office/word/2010/wordprocessingShape">
                    <wps:wsp xmlns:wps="http://schemas.microsoft.com/office/word/2010/wordprocessingShape">
                      <wps:cNvSpPr txBox="1"/>
                      <wps:spPr>
                        <a:xfrm>
                          <a:off x="0" y="0"/>
                          <a:ext cx="1248410" cy="3823970"/>
                        </a:xfrm>
                        <a:prstGeom prst="rect">
                          <a:avLst/>
                        </a:prstGeom>
                        <a:solidFill>
                          <a:srgbClr val="DBD8D6"/>
                        </a:solidFill>
                      </wps:spPr>
                      <wps:txbx>
                        <w:txbxContent>
                          <w:p>
                            <w:pPr>
                              <w:spacing w:before="50" w:line="256" w:lineRule="auto"/>
                              <w:ind w:left="38" w:right="0" w:firstLine="0"/>
                              <w:jc w:val="left"/>
                              <w:rPr>
                                <w:b/>
                                <w:sz w:val="16"/>
                              </w:rPr>
                            </w:pPr>
                            <w:r>
                              <w:rPr>
                                <w:w w:val="110"/>
                                <w:sz w:val="15"/>
                              </w:rPr>
                              <w:t xml:space="preserve">Per conformarsi alla tassonomia dell’UE, i criteri relativi </w:t>
                            </w:r>
                            <w:r>
                              <w:rPr>
                                <w:b/>
                                <w:color w:val="3382A8"/>
                                <w:w w:val="110"/>
                                <w:sz w:val="15"/>
                              </w:rPr>
                              <w:t>al gas fossile</w:t>
                            </w:r>
                          </w:p>
                          <w:p>
                            <w:pPr>
                              <w:spacing w:before="0" w:line="259" w:lineRule="auto"/>
                              <w:ind w:left="38" w:right="468" w:firstLine="0"/>
                              <w:jc w:val="left"/>
                              <w:rPr>
                                <w:sz w:val="16"/>
                              </w:rPr>
                            </w:pPr>
                            <w:r>
                              <w:rPr>
                                <w:w w:val="110"/>
                                <w:sz w:val="15"/>
                              </w:rPr>
                              <w:t>prevedono limitazioni alle emissioni</w:t>
                            </w:r>
                          </w:p>
                          <w:p>
                            <w:pPr>
                              <w:spacing w:before="5"/>
                              <w:ind w:left="38" w:right="0" w:firstLine="0"/>
                              <w:jc w:val="left"/>
                              <w:rPr>
                                <w:sz w:val="16"/>
                              </w:rPr>
                            </w:pPr>
                            <w:r>
                              <w:rPr>
                                <w:w w:val="110"/>
                                <w:sz w:val="15"/>
                              </w:rPr>
                              <w:t>e il passaggio a</w:t>
                            </w:r>
                          </w:p>
                          <w:p>
                            <w:pPr>
                              <w:spacing w:before="8" w:line="259" w:lineRule="auto"/>
                              <w:ind w:left="38" w:right="128" w:firstLine="0"/>
                              <w:jc w:val="left"/>
                              <w:rPr>
                                <w:sz w:val="16"/>
                              </w:rPr>
                            </w:pPr>
                            <w:r>
                              <w:rPr>
                                <w:w w:val="110"/>
                                <w:sz w:val="15"/>
                              </w:rPr>
                              <w:t>energia interamente rinnovabile o a combustibili a basse emissioni di carbonio entro la fine del 2035. Per l’</w:t>
                            </w:r>
                          </w:p>
                          <w:p>
                            <w:pPr>
                              <w:spacing w:before="2" w:line="259" w:lineRule="auto"/>
                              <w:ind w:left="38" w:right="54" w:firstLine="0"/>
                              <w:jc w:val="left"/>
                              <w:rPr>
                                <w:sz w:val="16"/>
                              </w:rPr>
                            </w:pPr>
                            <w:r>
                              <w:rPr>
                                <w:b/>
                                <w:color w:val="3382A8"/>
                                <w:w w:val="110"/>
                                <w:sz w:val="15"/>
                              </w:rPr>
                              <w:t>energia nucleare</w:t>
                            </w:r>
                            <w:r>
                              <w:rPr>
                                <w:w w:val="110"/>
                                <w:sz w:val="15"/>
                              </w:rPr>
                              <w:t>, i criteri comprendono norme complete in materia di sicurezza e gestione dei rifiuti</w:t>
                            </w:r>
                          </w:p>
                          <w:p>
                            <w:pPr>
                              <w:spacing w:before="4"/>
                              <w:ind w:left="38" w:right="0" w:firstLine="0"/>
                              <w:jc w:val="left"/>
                              <w:rPr>
                                <w:sz w:val="16"/>
                              </w:rPr>
                            </w:pPr>
                            <w:r>
                              <w:rPr>
                                <w:spacing w:val="-2"/>
                                <w:w w:val="110"/>
                                <w:sz w:val="15"/>
                              </w:rPr>
                              <w:t>.</w:t>
                            </w:r>
                          </w:p>
                          <w:p>
                            <w:pPr>
                              <w:pStyle w:val="BodyText"/>
                              <w:spacing w:before="23"/>
                              <w:rPr>
                                <w:sz w:val="16"/>
                              </w:rPr>
                            </w:pPr>
                          </w:p>
                          <w:p>
                            <w:pPr>
                              <w:spacing w:before="0" w:line="259" w:lineRule="auto"/>
                              <w:ind w:left="38" w:right="54" w:firstLine="0"/>
                              <w:jc w:val="left"/>
                              <w:rPr>
                                <w:sz w:val="16"/>
                              </w:rPr>
                            </w:pPr>
                            <w:r>
                              <w:rPr>
                                <w:b/>
                                <w:color w:val="3382A8"/>
                                <w:w w:val="110"/>
                                <w:sz w:val="15"/>
                              </w:rPr>
                              <w:t xml:space="preserve">Le attività abilitanti </w:t>
                            </w:r>
                            <w:r>
                              <w:rPr>
                                <w:w w:val="110"/>
                                <w:sz w:val="15"/>
                              </w:rPr>
                              <w:t>consentono direttamente ad altre attività di fornire un contributo sostanziale al raggiungimento di un obiettivo ambientale.</w:t>
                            </w:r>
                          </w:p>
                          <w:p>
                            <w:pPr>
                              <w:pStyle w:val="BodyText"/>
                              <w:spacing w:before="11"/>
                              <w:rPr>
                                <w:sz w:val="16"/>
                              </w:rPr>
                            </w:pPr>
                          </w:p>
                          <w:p>
                            <w:pPr>
                              <w:spacing w:before="0" w:line="259" w:lineRule="auto"/>
                              <w:ind w:left="38" w:right="41" w:firstLine="0"/>
                              <w:jc w:val="left"/>
                              <w:rPr>
                                <w:sz w:val="16"/>
                              </w:rPr>
                            </w:pPr>
                            <w:r>
                              <w:rPr>
                                <w:b/>
                                <w:color w:val="3382A8"/>
                                <w:sz w:val="15"/>
                              </w:rPr>
                              <w:t xml:space="preserve">Le attività di transizione sono </w:t>
                            </w:r>
                            <w:r>
                              <w:rPr>
                                <w:w w:val="110"/>
                                <w:sz w:val="15"/>
                              </w:rPr>
                              <w:t>quelle per le quali non sono ancora disponibili alternative a basse emissioni di carbonio e che, tra l’altro, presentano livelli di emissioni di gas serra corrispondenti alle migliori prestazioni.</w:t>
                            </w:r>
                          </w:p>
                        </w:txbxContent>
                      </wps:txbx>
                      <wps:bodyPr wrap="square" lIns="0" tIns="0" rIns="0" bIns="0" rtlCol="0"/>
                    </wps:wsp>
                  </a:graphicData>
                </a:graphic>
              </wp:anchor>
            </w:drawing>
          </mc:Choice>
          <mc:Fallback>
            <w:pict>
              <v:shape id="_x0000_s1065" type="#_x0000_t202" style="width:98.3pt;height:301.1pt;margin-top:7.9pt;margin-left:2.52pt;mso-position-horizontal-relative:page;position:absolute;z-index:251681792" filled="t" fillcolor="#dbd8d6" stroked="f">
                <v:fill type="solid"/>
                <v:textbox inset="0,0,0,0">
                  <w:txbxContent>
                    <w:p>
                      <w:pPr>
                        <w:spacing w:before="50" w:line="256" w:lineRule="auto"/>
                        <w:ind w:left="38" w:right="0" w:firstLine="0"/>
                        <w:jc w:val="left"/>
                        <w:rPr>
                          <w:b/>
                          <w:sz w:val="16"/>
                        </w:rPr>
                      </w:pPr>
                      <w:r>
                        <w:rPr>
                          <w:w w:val="110"/>
                          <w:sz w:val="16"/>
                        </w:rPr>
                        <w:t xml:space="preserve">Per conformarsi alla tassonomia dell’UE, i criteri relativi </w:t>
                      </w:r>
                      <w:r>
                        <w:rPr>
                          <w:b/>
                          <w:color w:val="3382A8"/>
                          <w:w w:val="110"/>
                          <w:sz w:val="16"/>
                        </w:rPr>
                        <w:t>al gas fossile</w:t>
                      </w:r>
                    </w:p>
                    <w:p>
                      <w:pPr>
                        <w:spacing w:before="0" w:line="259" w:lineRule="auto"/>
                        <w:ind w:left="38" w:right="468" w:firstLine="0"/>
                        <w:jc w:val="left"/>
                        <w:rPr>
                          <w:sz w:val="16"/>
                        </w:rPr>
                      </w:pPr>
                      <w:r>
                        <w:rPr>
                          <w:w w:val="110"/>
                          <w:sz w:val="16"/>
                        </w:rPr>
                        <w:t>prevedono limitazioni alle emissioni</w:t>
                      </w:r>
                    </w:p>
                    <w:p>
                      <w:pPr>
                        <w:spacing w:before="5"/>
                        <w:ind w:left="38" w:right="0" w:firstLine="0"/>
                        <w:jc w:val="left"/>
                        <w:rPr>
                          <w:sz w:val="16"/>
                        </w:rPr>
                      </w:pPr>
                      <w:r>
                        <w:rPr>
                          <w:w w:val="110"/>
                          <w:sz w:val="16"/>
                        </w:rPr>
                        <w:t>e il passaggio a</w:t>
                      </w:r>
                    </w:p>
                    <w:p>
                      <w:pPr>
                        <w:spacing w:before="8" w:line="259" w:lineRule="auto"/>
                        <w:ind w:left="38" w:right="128" w:firstLine="0"/>
                        <w:jc w:val="left"/>
                        <w:rPr>
                          <w:sz w:val="16"/>
                        </w:rPr>
                      </w:pPr>
                      <w:r>
                        <w:rPr>
                          <w:w w:val="110"/>
                          <w:sz w:val="16"/>
                        </w:rPr>
                        <w:t>energia interamente rinnovabile o a combustibili a basse emissioni di carbonio entro la fine del 2035. Per l’</w:t>
                      </w:r>
                    </w:p>
                    <w:p>
                      <w:pPr>
                        <w:spacing w:before="2" w:line="259" w:lineRule="auto"/>
                        <w:ind w:left="38" w:right="54" w:firstLine="0"/>
                        <w:jc w:val="left"/>
                        <w:rPr>
                          <w:sz w:val="16"/>
                        </w:rPr>
                      </w:pPr>
                      <w:r>
                        <w:rPr>
                          <w:b/>
                          <w:color w:val="3382A8"/>
                          <w:w w:val="110"/>
                          <w:sz w:val="16"/>
                        </w:rPr>
                        <w:t>energia nucleare</w:t>
                      </w:r>
                      <w:r>
                        <w:rPr>
                          <w:w w:val="110"/>
                          <w:sz w:val="16"/>
                        </w:rPr>
                        <w:t>, i criteri comprendono norme complete in materia di sicurezza e gestione dei rifiuti</w:t>
                      </w:r>
                    </w:p>
                    <w:p>
                      <w:pPr>
                        <w:spacing w:before="4"/>
                        <w:ind w:left="38" w:right="0" w:firstLine="0"/>
                        <w:jc w:val="left"/>
                        <w:rPr>
                          <w:sz w:val="16"/>
                        </w:rPr>
                      </w:pPr>
                      <w:r>
                        <w:rPr>
                          <w:spacing w:val="-2"/>
                          <w:w w:val="110"/>
                          <w:sz w:val="16"/>
                        </w:rPr>
                        <w:t>.</w:t>
                      </w:r>
                    </w:p>
                    <w:p>
                      <w:pPr>
                        <w:pStyle w:val="BodyText"/>
                        <w:spacing w:before="23"/>
                        <w:rPr>
                          <w:sz w:val="16"/>
                        </w:rPr>
                      </w:pPr>
                    </w:p>
                    <w:p>
                      <w:pPr>
                        <w:spacing w:before="0" w:line="259" w:lineRule="auto"/>
                        <w:ind w:left="38" w:right="54" w:firstLine="0"/>
                        <w:jc w:val="left"/>
                        <w:rPr>
                          <w:sz w:val="16"/>
                        </w:rPr>
                      </w:pPr>
                      <w:r>
                        <w:rPr>
                          <w:b/>
                          <w:color w:val="3382A8"/>
                          <w:w w:val="110"/>
                          <w:sz w:val="16"/>
                        </w:rPr>
                        <w:t xml:space="preserve">Le attività abilitanti </w:t>
                      </w:r>
                      <w:r>
                        <w:rPr>
                          <w:w w:val="110"/>
                          <w:sz w:val="16"/>
                        </w:rPr>
                        <w:t>consentono direttamente ad altre attività di fornire un contributo sostanziale al raggiungimento di un obiettivo ambientale.</w:t>
                      </w:r>
                    </w:p>
                    <w:p>
                      <w:pPr>
                        <w:pStyle w:val="BodyText"/>
                        <w:spacing w:before="11"/>
                        <w:rPr>
                          <w:sz w:val="16"/>
                        </w:rPr>
                      </w:pPr>
                    </w:p>
                    <w:p>
                      <w:pPr>
                        <w:spacing w:before="0" w:line="259" w:lineRule="auto"/>
                        <w:ind w:left="38" w:right="41" w:firstLine="0"/>
                        <w:jc w:val="left"/>
                        <w:rPr>
                          <w:sz w:val="16"/>
                        </w:rPr>
                      </w:pPr>
                      <w:r>
                        <w:rPr>
                          <w:b/>
                          <w:color w:val="3382A8"/>
                          <w:sz w:val="16"/>
                        </w:rPr>
                        <w:t xml:space="preserve">Le attività di transizione sono </w:t>
                      </w:r>
                      <w:r>
                        <w:rPr>
                          <w:w w:val="110"/>
                          <w:sz w:val="16"/>
                        </w:rPr>
                        <w:t>quelle per le quali non sono ancora disponibili alternative a basse emissioni di carbonio e che, tra l’altro, presentano livelli di emissioni di gas serra corrispondenti alle migliori prestazioni.</w:t>
                      </w:r>
                    </w:p>
                  </w:txbxContent>
                </v:textbox>
              </v:shape>
            </w:pict>
          </mc:Fallback>
        </mc:AlternateContent>
      </w:r>
      <w:r>
        <mc:AlternateContent>
          <mc:Choice Requires="wps">
            <w:drawing>
              <wp:anchor distT="0" distB="0" distL="0" distR="0" simplePos="0" relativeHeight="251683840" behindDoc="0" locked="0" layoutInCell="1" allowOverlap="1">
                <wp:simplePos x="0" y="0"/>
                <wp:positionH relativeFrom="page">
                  <wp:posOffset>32003</wp:posOffset>
                </wp:positionH>
                <wp:positionV relativeFrom="paragraph">
                  <wp:posOffset>-2118614</wp:posOffset>
                </wp:positionV>
                <wp:extent cx="1248410" cy="2194560"/>
                <wp:effectExtent l="0" t="0" r="0" b="0"/>
                <wp:wrapNone/>
                <wp:docPr id="59" name="Textbox 59"/>
                <wp:cNvGraphicFramePr/>
                <a:graphic xmlns:a="http://schemas.openxmlformats.org/drawingml/2006/main">
                  <a:graphicData uri="http://schemas.microsoft.com/office/word/2010/wordprocessingShape">
                    <wps:wsp xmlns:wps="http://schemas.microsoft.com/office/word/2010/wordprocessingShape">
                      <wps:cNvSpPr txBox="1"/>
                      <wps:spPr>
                        <a:xfrm>
                          <a:off x="0" y="0"/>
                          <a:ext cx="1248410" cy="2194560"/>
                        </a:xfrm>
                        <a:prstGeom prst="rect">
                          <a:avLst/>
                        </a:prstGeom>
                        <a:solidFill>
                          <a:srgbClr val="DBD8D6"/>
                        </a:solidFill>
                      </wps:spPr>
                      <wps:txbx>
                        <w:txbxContent>
                          <w:p>
                            <w:pPr>
                              <w:spacing w:before="47" w:line="259" w:lineRule="auto"/>
                              <w:ind w:left="38" w:right="80" w:firstLine="0"/>
                              <w:jc w:val="left"/>
                              <w:rPr>
                                <w:sz w:val="16"/>
                              </w:rPr>
                            </w:pPr>
                            <w:r>
                              <w:rPr>
                                <w:spacing w:val="-2"/>
                                <w:w w:val="110"/>
                                <w:sz w:val="15"/>
                              </w:rPr>
                              <w:t>Le attività allineate alla tassonomia sono espresse come quota del:</w:t>
                            </w:r>
                          </w:p>
                          <w:p>
                            <w:pPr>
                              <w:numPr>
                                <w:ilvl w:val="0"/>
                                <w:numId w:val="1"/>
                              </w:numPr>
                              <w:tabs>
                                <w:tab w:val="left" w:pos="131"/>
                              </w:tabs>
                              <w:spacing w:before="0" w:line="259" w:lineRule="auto"/>
                              <w:ind w:left="38" w:right="53" w:firstLine="0"/>
                              <w:jc w:val="left"/>
                              <w:rPr>
                                <w:sz w:val="16"/>
                              </w:rPr>
                            </w:pPr>
                            <w:r>
                              <w:rPr>
                                <w:b/>
                                <w:color w:val="3382A8"/>
                                <w:w w:val="110"/>
                                <w:sz w:val="15"/>
                              </w:rPr>
                              <w:t xml:space="preserve">fatturato, </w:t>
                            </w:r>
                            <w:r>
                              <w:rPr>
                                <w:w w:val="110"/>
                                <w:sz w:val="15"/>
                              </w:rPr>
                              <w:t>che riflette la quota di ricavi derivanti dalle attività verdi delle società partecipate</w:t>
                            </w:r>
                          </w:p>
                          <w:p>
                            <w:pPr>
                              <w:numPr>
                                <w:ilvl w:val="0"/>
                                <w:numId w:val="1"/>
                              </w:numPr>
                              <w:tabs>
                                <w:tab w:val="left" w:pos="131"/>
                              </w:tabs>
                              <w:spacing w:before="1" w:line="256" w:lineRule="auto"/>
                              <w:ind w:left="38" w:right="190" w:firstLine="0"/>
                              <w:jc w:val="left"/>
                              <w:rPr>
                                <w:sz w:val="16"/>
                              </w:rPr>
                            </w:pPr>
                            <w:r>
                              <w:rPr>
                                <w:b/>
                                <w:color w:val="3382A8"/>
                                <w:w w:val="110"/>
                                <w:sz w:val="15"/>
                              </w:rPr>
                              <w:t xml:space="preserve">spese in conto capitale </w:t>
                            </w:r>
                            <w:r>
                              <w:rPr>
                                <w:w w:val="110"/>
                                <w:sz w:val="15"/>
                              </w:rPr>
                              <w:t>(CapEx) che indicano gli investimenti verdi effettuati dalle società partecipate,</w:t>
                            </w:r>
                          </w:p>
                          <w:p>
                            <w:pPr>
                              <w:spacing w:before="5" w:line="259" w:lineRule="auto"/>
                              <w:ind w:left="38" w:right="0" w:firstLine="0"/>
                              <w:jc w:val="left"/>
                              <w:rPr>
                                <w:sz w:val="16"/>
                              </w:rPr>
                            </w:pPr>
                            <w:r>
                              <w:rPr>
                                <w:w w:val="110"/>
                                <w:sz w:val="15"/>
                              </w:rPr>
                              <w:t>ad esempio per la transizione verso un’economia verde.</w:t>
                            </w:r>
                          </w:p>
                          <w:p>
                            <w:pPr>
                              <w:spacing w:before="1" w:line="259" w:lineRule="auto"/>
                              <w:ind w:left="38" w:right="0" w:firstLine="0"/>
                              <w:jc w:val="left"/>
                              <w:rPr>
                                <w:sz w:val="16"/>
                              </w:rPr>
                            </w:pPr>
                            <w:r>
                              <w:rPr>
                                <w:sz w:val="15"/>
                              </w:rPr>
                              <w:t xml:space="preserve">- </w:t>
                            </w:r>
                            <w:r>
                              <w:rPr>
                                <w:b/>
                                <w:color w:val="3382A8"/>
                                <w:sz w:val="15"/>
                              </w:rPr>
                              <w:t xml:space="preserve">spese operative </w:t>
                            </w:r>
                            <w:r>
                              <w:rPr>
                                <w:w w:val="110"/>
                                <w:sz w:val="15"/>
                              </w:rPr>
                              <w:t>(OpEx), che riflettono le attività operative verdi delle società partecipate.</w:t>
                            </w:r>
                          </w:p>
                        </w:txbxContent>
                      </wps:txbx>
                      <wps:bodyPr wrap="square" lIns="0" tIns="0" rIns="0" bIns="0" rtlCol="0"/>
                    </wps:wsp>
                  </a:graphicData>
                </a:graphic>
              </wp:anchor>
            </w:drawing>
          </mc:Choice>
          <mc:Fallback>
            <w:pict>
              <v:shape id="Textbox 59" o:spid="_x0000_s1066" type="#_x0000_t202" style="width:98.3pt;height:172.8pt;margin-top:-166.82pt;margin-left:2.52pt;mso-position-horizontal-relative:page;mso-wrap-distance-bottom:0;mso-wrap-distance-left:0;mso-wrap-distance-right:0;mso-wrap-distance-top:0;position:absolute;v-text-anchor:top;z-index:251682816" fillcolor="#dbd8d6">
                <v:textbox inset="0,0,0,0">
                  <w:txbxContent>
                    <w:p>
                      <w:pPr>
                        <w:spacing w:before="47" w:line="259" w:lineRule="auto"/>
                        <w:ind w:left="38" w:right="80" w:firstLine="0"/>
                        <w:jc w:val="left"/>
                        <w:rPr>
                          <w:sz w:val="16"/>
                        </w:rPr>
                      </w:pPr>
                      <w:r>
                        <w:rPr>
                          <w:spacing w:val="-2"/>
                          <w:w w:val="110"/>
                          <w:sz w:val="15"/>
                        </w:rPr>
                        <w:t>Le attività allineate alla tassonomia sono espresse come quota del:</w:t>
                      </w:r>
                    </w:p>
                    <w:p>
                      <w:pPr>
                        <w:numPr>
                          <w:ilvl w:val="0"/>
                          <w:numId w:val="1"/>
                        </w:numPr>
                        <w:tabs>
                          <w:tab w:val="left" w:pos="131"/>
                        </w:tabs>
                        <w:spacing w:before="0" w:line="259" w:lineRule="auto"/>
                        <w:ind w:left="38" w:right="53" w:firstLine="0"/>
                        <w:jc w:val="left"/>
                        <w:rPr>
                          <w:sz w:val="16"/>
                        </w:rPr>
                      </w:pPr>
                      <w:r>
                        <w:rPr>
                          <w:b/>
                          <w:color w:val="3382A8"/>
                          <w:w w:val="110"/>
                          <w:sz w:val="15"/>
                        </w:rPr>
                        <w:t xml:space="preserve">fatturato, </w:t>
                      </w:r>
                      <w:r>
                        <w:rPr>
                          <w:w w:val="110"/>
                          <w:sz w:val="15"/>
                        </w:rPr>
                        <w:t>che riflette la quota di ricavi derivanti dalle attività verdi delle società partecipate</w:t>
                      </w:r>
                    </w:p>
                    <w:p>
                      <w:pPr>
                        <w:numPr>
                          <w:ilvl w:val="0"/>
                          <w:numId w:val="1"/>
                        </w:numPr>
                        <w:tabs>
                          <w:tab w:val="left" w:pos="131"/>
                        </w:tabs>
                        <w:spacing w:before="1" w:line="256" w:lineRule="auto"/>
                        <w:ind w:left="38" w:right="190" w:firstLine="0"/>
                        <w:jc w:val="left"/>
                        <w:rPr>
                          <w:sz w:val="16"/>
                        </w:rPr>
                      </w:pPr>
                      <w:r>
                        <w:rPr>
                          <w:b/>
                          <w:color w:val="3382A8"/>
                          <w:w w:val="110"/>
                          <w:sz w:val="15"/>
                        </w:rPr>
                        <w:t xml:space="preserve">spese in conto capitale </w:t>
                      </w:r>
                      <w:r>
                        <w:rPr>
                          <w:w w:val="110"/>
                          <w:sz w:val="15"/>
                        </w:rPr>
                        <w:t>(CapEx) che indicano gli investimenti verdi effettuati dalle società partecipate,</w:t>
                      </w:r>
                    </w:p>
                    <w:p>
                      <w:pPr>
                        <w:spacing w:before="5" w:line="259" w:lineRule="auto"/>
                        <w:ind w:left="38" w:right="0" w:firstLine="0"/>
                        <w:jc w:val="left"/>
                        <w:rPr>
                          <w:sz w:val="16"/>
                        </w:rPr>
                      </w:pPr>
                      <w:r>
                        <w:rPr>
                          <w:w w:val="110"/>
                          <w:sz w:val="15"/>
                        </w:rPr>
                        <w:t>ad esempio per la transizione verso un’economia verde.</w:t>
                      </w:r>
                    </w:p>
                    <w:p>
                      <w:pPr>
                        <w:spacing w:before="1" w:line="259" w:lineRule="auto"/>
                        <w:ind w:left="38" w:right="0" w:firstLine="0"/>
                        <w:jc w:val="left"/>
                        <w:rPr>
                          <w:sz w:val="16"/>
                        </w:rPr>
                      </w:pPr>
                      <w:r>
                        <w:rPr>
                          <w:sz w:val="15"/>
                        </w:rPr>
                        <w:t xml:space="preserve">- </w:t>
                      </w:r>
                      <w:r>
                        <w:rPr>
                          <w:b/>
                          <w:color w:val="3382A8"/>
                          <w:sz w:val="15"/>
                        </w:rPr>
                        <w:t xml:space="preserve">spese operative </w:t>
                      </w:r>
                      <w:r>
                        <w:rPr>
                          <w:w w:val="110"/>
                          <w:sz w:val="15"/>
                        </w:rPr>
                        <w:t>(OpEx), che riflettono le attività operative verdi delle società partecipate.</w:t>
                      </w:r>
                    </w:p>
                  </w:txbxContent>
                </v:textbox>
              </v:shape>
            </w:pict>
          </mc:Fallback>
        </mc:AlternateContent>
      </w:r>
      <w:r>
        <w:rPr>
          <w:color w:val="1A365D"/>
          <w:w w:val="110"/>
          <w:sz w:val="19"/>
        </w:rPr>
        <w:t>In che modo l’uso di derivati consente di raggiungere le caratteristiche ambientali o sociali promosse dal prodotto finanziario?</w:t>
      </w:r>
    </w:p>
    <w:p>
      <w:pPr>
        <w:pStyle w:val="BodyText"/>
        <w:spacing w:before="78" w:line="259" w:lineRule="auto"/>
        <w:ind w:left="2316" w:right="1800"/>
      </w:pPr>
      <w:r>
        <w:rPr>
          <w:w w:val="110"/>
          <w:sz w:val="17"/>
        </w:rPr>
        <w:t>Non applicabile. Il Fondo non utilizza strumenti derivati allo scopo di conseguire le caratteristiche ambientali promosse dal Fondo.</w:t>
      </w:r>
    </w:p>
    <w:p>
      <w:pPr>
        <w:pStyle w:val="Heading3"/>
        <w:spacing w:before="189" w:line="249" w:lineRule="auto"/>
        <w:ind w:left="3026"/>
      </w:pPr>
      <w:r>
        <w:drawing>
          <wp:anchor distT="0" distB="0" distL="0" distR="0" simplePos="0" relativeHeight="251679744" behindDoc="0" locked="0" layoutInCell="1" allowOverlap="1">
            <wp:simplePos x="0" y="0"/>
            <wp:positionH relativeFrom="page">
              <wp:posOffset>1482851</wp:posOffset>
            </wp:positionH>
            <wp:positionV relativeFrom="paragraph">
              <wp:posOffset>97128</wp:posOffset>
            </wp:positionV>
            <wp:extent cx="379476" cy="382524"/>
            <wp:effectExtent l="0" t="0" r="0" b="0"/>
            <wp:wrapNone/>
            <wp:docPr id="60" name="Image 60"/>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xmlns:r="http://schemas.openxmlformats.org/officeDocument/2006/relationships" r:embed="rId22" cstate="print"/>
                    <a:stretch>
                      <a:fillRect/>
                    </a:stretch>
                  </pic:blipFill>
                  <pic:spPr>
                    <a:xfrm>
                      <a:off x="0" y="0"/>
                      <a:ext cx="379476" cy="382524"/>
                    </a:xfrm>
                    <a:prstGeom prst="rect">
                      <a:avLst/>
                    </a:prstGeom>
                  </pic:spPr>
                </pic:pic>
              </a:graphicData>
            </a:graphic>
          </wp:anchor>
        </w:drawing>
      </w:r>
      <w:r>
        <w:rPr>
          <w:color w:val="1A365D"/>
          <w:w w:val="110"/>
          <w:sz w:val="19"/>
        </w:rPr>
        <w:t>In che misura minima gli investimenti sostenibili con un obiettivo ambientale sono allineati alla tassonomia dell’UE?</w:t>
      </w:r>
    </w:p>
    <w:p>
      <w:pPr>
        <w:pStyle w:val="BodyText"/>
        <w:spacing w:before="208" w:line="259" w:lineRule="auto"/>
        <w:ind w:left="3026" w:right="1029"/>
      </w:pPr>
      <w:r>
        <w:rPr>
          <w:w w:val="110"/>
          <w:sz w:val="17"/>
        </w:rPr>
        <w:t>Il Fondo non si impegna attualmente a investire in alcun investimento sostenibile ai sensi dello SFDR; di conseguenza, la quota minima di investimenti allineati alla tassonomia dell’UE è pari allo 0%.</w:t>
      </w:r>
    </w:p>
    <w:p>
      <w:pPr>
        <w:spacing w:before="155" w:line="259" w:lineRule="auto"/>
        <w:ind w:left="3019" w:right="888" w:firstLine="0"/>
        <w:jc w:val="left"/>
        <w:rPr>
          <w:sz w:val="20"/>
        </w:rPr>
      </w:pPr>
      <w:r>
        <w:rPr>
          <w:b/>
          <w:i/>
          <w:color w:val="1A365D"/>
          <w:w w:val="110"/>
          <w:sz w:val="19"/>
        </w:rPr>
        <w:t>Il prodotto finanziario investe in attività legate al gas fossile e/o all’energia nucleare conformi alla Tassonomia dell’UE¹?</w:t>
      </w:r>
      <w:r>
        <w:rPr>
          <w:w w:val="110"/>
          <w:sz w:val="19"/>
        </w:rPr>
        <w:t>1</w:t>
      </w:r>
    </w:p>
    <w:p>
      <w:pPr>
        <w:spacing w:before="176"/>
        <w:ind w:left="3036" w:right="0" w:firstLine="0"/>
        <w:jc w:val="left"/>
        <w:rPr>
          <w:sz w:val="18"/>
        </w:rPr>
      </w:pPr>
      <w:r>
        <w:drawing>
          <wp:inline distT="0" distB="0" distL="0" distR="0">
            <wp:extent cx="89916" cy="91439"/>
            <wp:effectExtent l="0" t="0" r="0" b="0"/>
            <wp:docPr id="61" name="Image 61"/>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xmlns:r="http://schemas.openxmlformats.org/officeDocument/2006/relationships" r:embed="rId15" cstate="print"/>
                    <a:stretch>
                      <a:fillRect/>
                    </a:stretch>
                  </pic:blipFill>
                  <pic:spPr>
                    <a:xfrm>
                      <a:off x="0" y="0"/>
                      <a:ext cx="89916" cy="91439"/>
                    </a:xfrm>
                    <a:prstGeom prst="rect">
                      <a:avLst/>
                    </a:prstGeom>
                  </pic:spPr>
                </pic:pic>
              </a:graphicData>
            </a:graphic>
          </wp:inline>
        </w:drawing>
      </w:r>
      <w:r>
        <w:rPr>
          <w:sz w:val="17"/>
        </w:rPr>
        <w:t xml:space="preserve"> Sì</w:t>
      </w:r>
    </w:p>
    <w:p>
      <w:pPr>
        <w:pStyle w:val="BodyText"/>
        <w:tabs>
          <w:tab w:val="left" w:pos="6179"/>
          <w:tab w:val="left" w:pos="6542"/>
        </w:tabs>
        <w:spacing w:before="124"/>
        <w:ind w:left="4336"/>
        <w:rPr>
          <w:position w:val="1"/>
        </w:rPr>
      </w:pPr>
      <w:r>
        <w:rPr>
          <w:position w:val="1"/>
        </w:rPr>
        <w:drawing>
          <wp:inline distT="0" distB="0" distL="0" distR="0">
            <wp:extent cx="89916" cy="91439"/>
            <wp:effectExtent l="0" t="0" r="0" b="0"/>
            <wp:docPr id="62" name="Image 62"/>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xmlns:r="http://schemas.openxmlformats.org/officeDocument/2006/relationships" r:embed="rId15" cstate="print"/>
                    <a:stretch>
                      <a:fillRect/>
                    </a:stretch>
                  </pic:blipFill>
                  <pic:spPr>
                    <a:xfrm>
                      <a:off x="0" y="0"/>
                      <a:ext cx="89916" cy="91439"/>
                    </a:xfrm>
                    <a:prstGeom prst="rect">
                      <a:avLst/>
                    </a:prstGeom>
                  </pic:spPr>
                </pic:pic>
              </a:graphicData>
            </a:graphic>
          </wp:inline>
        </w:drawing>
      </w:r>
      <w:r>
        <w:rPr>
          <w:position w:val="1"/>
          <w:sz w:val="19"/>
        </w:rPr>
        <w:t xml:space="preserve"> </w:t>
      </w:r>
      <w:r>
        <w:rPr>
          <w:w w:val="105"/>
          <w:position w:val="1"/>
          <w:sz w:val="17"/>
        </w:rPr>
        <w:t>Nel gas fossile</w:t>
      </w:r>
      <w:r>
        <w:rPr>
          <w:position w:val="1"/>
          <w:sz w:val="17"/>
        </w:rPr>
        <w:tab/>
      </w:r>
      <w:r>
        <w:drawing>
          <wp:inline distT="0" distB="0" distL="0" distR="0">
            <wp:extent cx="91440" cy="91439"/>
            <wp:effectExtent l="0" t="0" r="0" b="0"/>
            <wp:docPr id="63" name="Image 63"/>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xmlns:r="http://schemas.openxmlformats.org/officeDocument/2006/relationships" r:embed="rId23" cstate="print"/>
                    <a:stretch>
                      <a:fillRect/>
                    </a:stretch>
                  </pic:blipFill>
                  <pic:spPr>
                    <a:xfrm>
                      <a:off x="0" y="0"/>
                      <a:ext cx="91440" cy="91439"/>
                    </a:xfrm>
                    <a:prstGeom prst="rect">
                      <a:avLst/>
                    </a:prstGeom>
                  </pic:spPr>
                </pic:pic>
              </a:graphicData>
            </a:graphic>
          </wp:inline>
        </w:drawing>
      </w:r>
      <w:r>
        <w:rPr>
          <w:position w:val="1"/>
          <w:sz w:val="17"/>
        </w:rPr>
        <w:tab/>
      </w:r>
      <w:r>
        <w:rPr>
          <w:spacing w:val="-2"/>
          <w:w w:val="110"/>
          <w:position w:val="1"/>
          <w:sz w:val="17"/>
        </w:rPr>
        <w:t>Nell’energia nucleare</w:t>
      </w:r>
    </w:p>
    <w:p>
      <w:pPr>
        <w:spacing w:before="124"/>
        <w:ind w:left="3033" w:right="0" w:firstLine="0"/>
        <w:jc w:val="left"/>
        <w:rPr>
          <w:sz w:val="18"/>
        </w:rPr>
      </w:pPr>
      <w:r>
        <w:drawing>
          <wp:inline distT="0" distB="0" distL="0" distR="0">
            <wp:extent cx="82296" cy="82296"/>
            <wp:effectExtent l="0" t="0" r="0" b="0"/>
            <wp:docPr id="64" name="Image 64"/>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xmlns:r="http://schemas.openxmlformats.org/officeDocument/2006/relationships" r:embed="rId24" cstate="print"/>
                    <a:stretch>
                      <a:fillRect/>
                    </a:stretch>
                  </pic:blipFill>
                  <pic:spPr>
                    <a:xfrm>
                      <a:off x="0" y="0"/>
                      <a:ext cx="82296" cy="82296"/>
                    </a:xfrm>
                    <a:prstGeom prst="rect">
                      <a:avLst/>
                    </a:prstGeom>
                  </pic:spPr>
                </pic:pic>
              </a:graphicData>
            </a:graphic>
          </wp:inline>
        </w:drawing>
      </w:r>
      <w:r>
        <w:rPr>
          <w:w w:val="110"/>
          <w:sz w:val="17"/>
        </w:rPr>
        <w:t xml:space="preserve"> No</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84"/>
        <w:rPr>
          <w:sz w:val="20"/>
        </w:rPr>
      </w:pPr>
      <w:r>
        <w:rPr>
          <w:sz w:val="20"/>
        </w:rPr>
        <mc:AlternateContent>
          <mc:Choice Requires="wps">
            <w:drawing>
              <wp:anchor distT="0" distB="0" distL="0" distR="0" simplePos="0" relativeHeight="251715584" behindDoc="1" locked="0" layoutInCell="1" allowOverlap="1">
                <wp:simplePos x="0" y="0"/>
                <wp:positionH relativeFrom="page">
                  <wp:posOffset>7620</wp:posOffset>
                </wp:positionH>
                <wp:positionV relativeFrom="paragraph">
                  <wp:posOffset>278667</wp:posOffset>
                </wp:positionV>
                <wp:extent cx="1827530" cy="9525"/>
                <wp:effectExtent l="0" t="0" r="0" b="0"/>
                <wp:wrapTopAndBottom/>
                <wp:docPr id="65" name="Graphic 65"/>
                <wp:cNvGraphicFramePr/>
                <a:graphic xmlns:a="http://schemas.openxmlformats.org/drawingml/2006/main">
                  <a:graphicData uri="http://schemas.microsoft.com/office/word/2010/wordprocessingShape">
                    <wps:wsp xmlns:wps="http://schemas.microsoft.com/office/word/2010/wordprocessingShape">
                      <wps:cNvSpPr/>
                      <wps:spPr>
                        <a:xfrm>
                          <a:off x="0" y="0"/>
                          <a:ext cx="1827530" cy="9525"/>
                        </a:xfrm>
                        <a:custGeom>
                          <a:avLst/>
                          <a:gdLst/>
                          <a:rect l="l" t="t" r="r" b="b"/>
                          <a:pathLst>
                            <a:path fill="norm" h="9525" w="1827530" stroke="1">
                              <a:moveTo>
                                <a:pt x="1827275" y="9144"/>
                              </a:moveTo>
                              <a:lnTo>
                                <a:pt x="0" y="9144"/>
                              </a:lnTo>
                              <a:lnTo>
                                <a:pt x="0" y="0"/>
                              </a:lnTo>
                              <a:lnTo>
                                <a:pt x="1827275" y="0"/>
                              </a:lnTo>
                              <a:lnTo>
                                <a:pt x="1827275" y="9144"/>
                              </a:lnTo>
                              <a:close/>
                            </a:path>
                          </a:pathLst>
                        </a:custGeom>
                        <a:solidFill>
                          <a:srgbClr val="000000"/>
                        </a:solidFill>
                      </wps:spPr>
                      <wps:bodyPr wrap="square" lIns="0" tIns="0" rIns="0" bIns="0" rtlCol="0">
                        <a:prstTxWarp prst="textNoShape">
                          <a:avLst/>
                        </a:prstTxWarp>
                      </wps:bodyPr>
                    </wps:wsp>
                  </a:graphicData>
                </a:graphic>
              </wp:anchor>
            </w:drawing>
          </mc:Choice>
          <mc:Fallback>
            <w:pict>
              <v:rect id="_x0000_s1067" style="width:143.88pt;height:0.72pt;margin-top:21.94pt;margin-left:0.6pt;mso-position-horizontal-relative:page;mso-wrap-distance-left:0;mso-wrap-distance-right:0;position:absolute;z-index:-251599872" filled="t" fillcolor="black" stroked="f">
                <v:fill type="solid"/>
                <w10:wrap type="topAndBottom"/>
              </v:rect>
            </w:pict>
          </mc:Fallback>
        </mc:AlternateContent>
      </w:r>
    </w:p>
    <w:p>
      <w:pPr>
        <w:spacing w:before="111" w:line="288" w:lineRule="auto"/>
        <w:ind w:left="614" w:right="282" w:firstLine="0"/>
        <w:jc w:val="left"/>
        <w:rPr>
          <w:sz w:val="20"/>
        </w:rPr>
      </w:pPr>
      <w:r>
        <w:rPr>
          <w:w w:val="110"/>
          <w:sz w:val="19"/>
        </w:rPr>
        <w:t>¹Le attività legate al gas fossile e/o all’energia nucleare saranno conformi alla Tassonomia dell’UE solo se contribuiscono a limitare i cambiamenti climatici (“mitigazione dei cambiamenti climatici”) e non compromettono in modo significativo alcuno degli obiettivi della Tassonomia dell’UE – si veda la nota esplicativa nel margine sinistro. I criteri completi relativi alle attività economiche nel settore del gas fossile e dell’energia nucleare conformi alla Tassonomia dell’UE sono stabiliti nel Regolamento delegato (UE) 2022/1214 della Commissione.</w:t>
      </w:r>
    </w:p>
    <w:p>
      <w:pPr>
        <w:spacing w:after="0" w:line="288" w:lineRule="auto"/>
        <w:jc w:val="left"/>
        <w:rPr>
          <w:sz w:val="20"/>
        </w:rPr>
        <w:sectPr>
          <w:pgSz w:w="11910" w:h="16840"/>
          <w:pgMar w:top="1200" w:right="0" w:bottom="840" w:left="0" w:header="10" w:footer="613"/>
          <w:cols w:space="708"/>
        </w:sectPr>
      </w:pPr>
    </w:p>
    <w:p>
      <w:pPr>
        <w:pStyle w:val="BodyText"/>
        <w:spacing w:before="72"/>
        <w:rPr>
          <w:sz w:val="20"/>
        </w:rPr>
      </w:pPr>
    </w:p>
    <w:p>
      <w:pPr>
        <w:pStyle w:val="BodyText"/>
        <w:spacing w:after="0"/>
        <w:rPr>
          <w:sz w:val="20"/>
        </w:rPr>
        <w:sectPr>
          <w:pgSz w:w="11910" w:h="16840"/>
          <w:pgMar w:top="1200" w:right="0" w:bottom="840" w:left="0" w:header="10" w:footer="613"/>
          <w:cols w:space="708"/>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10"/>
        <w:rPr>
          <w:sz w:val="20"/>
        </w:rPr>
      </w:pPr>
    </w:p>
    <w:p>
      <w:pPr>
        <w:pStyle w:val="Heading3"/>
        <w:ind w:left="2983" w:right="0"/>
        <w:jc w:val="both"/>
      </w:pPr>
      <w:r>
        <w:rPr>
          <w:color w:val="1A365D"/>
          <w:sz w:val="19"/>
        </w:rPr>
        <w:t>Quota minima di investimenti in attività di transizione e di supporto?</w:t>
      </w:r>
    </w:p>
    <w:p>
      <w:pPr>
        <w:pStyle w:val="BodyText"/>
        <w:spacing w:before="106" w:line="259" w:lineRule="auto"/>
        <w:ind w:left="2983" w:right="135" w:hanging="3"/>
        <w:jc w:val="both"/>
      </w:pPr>
      <w:r>
        <mc:AlternateContent>
          <mc:Choice Requires="wpg">
            <w:drawing>
              <wp:anchor distT="0" distB="0" distL="0" distR="0" simplePos="0" relativeHeight="251684864" behindDoc="0" locked="0" layoutInCell="1" allowOverlap="1">
                <wp:simplePos x="0" y="0"/>
                <wp:positionH relativeFrom="page">
                  <wp:posOffset>7620</wp:posOffset>
                </wp:positionH>
                <wp:positionV relativeFrom="paragraph">
                  <wp:posOffset>541075</wp:posOffset>
                </wp:positionV>
                <wp:extent cx="1271270" cy="1666239"/>
                <wp:effectExtent l="0" t="0" r="0" b="0"/>
                <wp:wrapNone/>
                <wp:docPr id="66" name="Group 66"/>
                <wp:cNvGraphicFramePr/>
                <a:graphic xmlns:a="http://schemas.openxmlformats.org/drawingml/2006/main">
                  <a:graphicData uri="http://schemas.microsoft.com/office/word/2010/wordprocessingGroup">
                    <wpg:wgp xmlns:wpg="http://schemas.microsoft.com/office/word/2010/wordprocessingGroup">
                      <wpg:cNvGrpSpPr/>
                      <wpg:grpSpPr>
                        <a:xfrm>
                          <a:off x="0" y="0"/>
                          <a:ext cx="1271270" cy="1666239"/>
                          <a:chOff x="0" y="0"/>
                          <a:chExt cx="1271270" cy="1666239"/>
                        </a:xfrm>
                      </wpg:grpSpPr>
                      <wps:wsp xmlns:wps="http://schemas.microsoft.com/office/word/2010/wordprocessingShape">
                        <wps:cNvPr id="67" name="Graphic 67"/>
                        <wps:cNvSpPr/>
                        <wps:spPr>
                          <a:xfrm>
                            <a:off x="1524" y="0"/>
                            <a:ext cx="1270000" cy="1666239"/>
                          </a:xfrm>
                          <a:custGeom>
                            <a:avLst/>
                            <a:gdLst/>
                            <a:rect l="l" t="t" r="r" b="b"/>
                            <a:pathLst>
                              <a:path fill="norm" h="1666239" w="1270000" stroke="1">
                                <a:moveTo>
                                  <a:pt x="1269492" y="486410"/>
                                </a:moveTo>
                                <a:lnTo>
                                  <a:pt x="1267968" y="486410"/>
                                </a:lnTo>
                                <a:lnTo>
                                  <a:pt x="1267968" y="0"/>
                                </a:lnTo>
                                <a:lnTo>
                                  <a:pt x="0" y="0"/>
                                </a:lnTo>
                                <a:lnTo>
                                  <a:pt x="0" y="486410"/>
                                </a:lnTo>
                                <a:lnTo>
                                  <a:pt x="0" y="1666240"/>
                                </a:lnTo>
                                <a:lnTo>
                                  <a:pt x="1269492" y="1666240"/>
                                </a:lnTo>
                                <a:lnTo>
                                  <a:pt x="1269492" y="486410"/>
                                </a:lnTo>
                                <a:close/>
                              </a:path>
                            </a:pathLst>
                          </a:custGeom>
                          <a:solidFill>
                            <a:srgbClr val="DBD8D6"/>
                          </a:solidFill>
                        </wps:spPr>
                        <wps:bodyPr wrap="square" lIns="0" tIns="0" rIns="0" bIns="0" rtlCol="0">
                          <a:prstTxWarp prst="textNoShape">
                            <a:avLst/>
                          </a:prstTxWarp>
                        </wps:bodyPr>
                      </wps:wsp>
                      <pic:pic xmlns:pic="http://schemas.openxmlformats.org/drawingml/2006/picture">
                        <pic:nvPicPr>
                          <pic:cNvPr id="68" name="Image 68"/>
                          <pic:cNvPicPr/>
                        </pic:nvPicPr>
                        <pic:blipFill>
                          <a:blip xmlns:r="http://schemas.openxmlformats.org/officeDocument/2006/relationships" r:embed="rId25" cstate="print"/>
                          <a:stretch>
                            <a:fillRect/>
                          </a:stretch>
                        </pic:blipFill>
                        <pic:spPr>
                          <a:xfrm>
                            <a:off x="0" y="4826"/>
                            <a:ext cx="472439" cy="469391"/>
                          </a:xfrm>
                          <a:prstGeom prst="rect">
                            <a:avLst/>
                          </a:prstGeom>
                        </pic:spPr>
                      </pic:pic>
                      <wps:wsp xmlns:wps="http://schemas.microsoft.com/office/word/2010/wordprocessingShape">
                        <wps:cNvPr id="69" name="Textbox 69"/>
                        <wps:cNvSpPr txBox="1"/>
                        <wps:spPr>
                          <a:xfrm>
                            <a:off x="1524" y="0"/>
                            <a:ext cx="1270000" cy="1666239"/>
                          </a:xfrm>
                          <a:prstGeom prst="rect">
                            <a:avLst/>
                          </a:prstGeom>
                        </wps:spPr>
                        <wps:txbx>
                          <w:txbxContent>
                            <w:p>
                              <w:pPr>
                                <w:spacing w:before="0" w:line="240" w:lineRule="auto"/>
                                <w:rPr>
                                  <w:b/>
                                  <w:i/>
                                  <w:sz w:val="16"/>
                                </w:rPr>
                              </w:pPr>
                            </w:p>
                            <w:p>
                              <w:pPr>
                                <w:spacing w:before="0" w:line="240" w:lineRule="auto"/>
                                <w:rPr>
                                  <w:b/>
                                  <w:i/>
                                  <w:sz w:val="16"/>
                                </w:rPr>
                              </w:pPr>
                            </w:p>
                            <w:p>
                              <w:pPr>
                                <w:spacing w:before="143" w:line="240" w:lineRule="auto"/>
                                <w:rPr>
                                  <w:b/>
                                  <w:i/>
                                  <w:sz w:val="16"/>
                                </w:rPr>
                              </w:pPr>
                            </w:p>
                            <w:p>
                              <w:pPr>
                                <w:spacing w:before="1" w:line="259" w:lineRule="auto"/>
                                <w:ind w:left="74" w:right="213" w:firstLine="0"/>
                                <w:jc w:val="left"/>
                                <w:rPr>
                                  <w:sz w:val="16"/>
                                </w:rPr>
                              </w:pPr>
                              <w:r>
                                <w:rPr>
                                  <w:w w:val="110"/>
                                  <w:sz w:val="15"/>
                                </w:rPr>
                                <w:t xml:space="preserve">Si tratta di investimenti sostenibili con un obiettivo ambientale </w:t>
                              </w:r>
                              <w:r>
                                <w:rPr>
                                  <w:b/>
                                  <w:color w:val="3382A8"/>
                                  <w:w w:val="110"/>
                                  <w:sz w:val="15"/>
                                </w:rPr>
                                <w:t xml:space="preserve">che non tengono conto dei criteri </w:t>
                              </w:r>
                              <w:r>
                                <w:rPr>
                                  <w:w w:val="110"/>
                                  <w:sz w:val="15"/>
                                </w:rPr>
                                <w:t>relativi alle attività economiche sostenibili dal punto di vista ambientale previsti dalla Tassonomia dell’UE.</w:t>
                              </w:r>
                            </w:p>
                          </w:txbxContent>
                        </wps:txbx>
                        <wps:bodyPr wrap="square" lIns="0" tIns="0" rIns="0" bIns="0" rtlCol="0"/>
                      </wps:wsp>
                    </wpg:wgp>
                  </a:graphicData>
                </a:graphic>
              </wp:anchor>
            </w:drawing>
          </mc:Choice>
          <mc:Fallback>
            <w:pict>
              <v:group id="_x0000_s1068" style="width:100.1pt;height:131.2pt;margin-top:42.6pt;margin-left:0.6pt;mso-position-horizontal-relative:page;position:absolute;z-index:251685888" coordorigin="12,852" coordsize="2002,2624">
                <v:shape id="_x0000_s1069" style="width:2000;height:2624;left:14;position:absolute;top:852" coordorigin="14,852" coordsize="2000,2624" path="m2014,1618l2011,1618,2011,852,14,852,14,1618,14,3476,2014,3476,2014,1618xe" filled="t" fillcolor="#dbd8d6" stroked="f">
                  <v:fill type="solid"/>
                  <v:path arrowok="t"/>
                </v:shape>
                <v:shape id="_x0000_s1070" type="#_x0000_t75" style="width:744;height:740;left:12;position:absolute;top:859" stroked="f">
                  <v:imagedata r:id="rId25" o:title=""/>
                </v:shape>
                <v:shape id="_x0000_s1071" type="#_x0000_t202" style="width:2000;height:2624;left:14;position:absolute;top:852" filled="f" stroked="f">
                  <v:textbox inset="0,0,0,0">
                    <w:txbxContent>
                      <w:p>
                        <w:pPr>
                          <w:spacing w:before="0" w:line="240" w:lineRule="auto"/>
                          <w:rPr>
                            <w:b/>
                            <w:i/>
                            <w:sz w:val="16"/>
                          </w:rPr>
                        </w:pPr>
                      </w:p>
                      <w:p>
                        <w:pPr>
                          <w:spacing w:before="0" w:line="240" w:lineRule="auto"/>
                          <w:rPr>
                            <w:b/>
                            <w:i/>
                            <w:sz w:val="16"/>
                          </w:rPr>
                        </w:pPr>
                      </w:p>
                      <w:p>
                        <w:pPr>
                          <w:spacing w:before="143" w:line="240" w:lineRule="auto"/>
                          <w:rPr>
                            <w:b/>
                            <w:i/>
                            <w:sz w:val="16"/>
                          </w:rPr>
                        </w:pPr>
                      </w:p>
                      <w:p>
                        <w:pPr>
                          <w:spacing w:before="1" w:line="259" w:lineRule="auto"/>
                          <w:ind w:left="74" w:right="213" w:firstLine="0"/>
                          <w:jc w:val="left"/>
                          <w:rPr>
                            <w:sz w:val="16"/>
                          </w:rPr>
                        </w:pPr>
                        <w:r>
                          <w:rPr>
                            <w:w w:val="110"/>
                            <w:sz w:val="16"/>
                          </w:rPr>
                          <w:t xml:space="preserve">sono investimenti sostenibili con un obiettivo ambientale </w:t>
                        </w:r>
                        <w:r>
                          <w:rPr>
                            <w:b/>
                            <w:color w:val="3382A8"/>
                            <w:w w:val="110"/>
                            <w:sz w:val="16"/>
                          </w:rPr>
                          <w:t xml:space="preserve">che non tengono conto dei criteri </w:t>
                        </w:r>
                        <w:r>
                          <w:rPr>
                            <w:w w:val="110"/>
                            <w:sz w:val="16"/>
                          </w:rPr>
                          <w:t>relativi alle attività economiche sostenibili dal punto di vista ambientale previsti dalla tassonomia dell’UE.</w:t>
                        </w:r>
                      </w:p>
                    </w:txbxContent>
                  </v:textbox>
                </v:shape>
              </v:group>
            </w:pict>
          </mc:Fallback>
        </mc:AlternateContent>
      </w:r>
      <w:r>
        <w:drawing>
          <wp:anchor distT="0" distB="0" distL="0" distR="0" simplePos="0" relativeHeight="251686912" behindDoc="0" locked="0" layoutInCell="1" allowOverlap="1">
            <wp:simplePos x="0" y="0"/>
            <wp:positionH relativeFrom="page">
              <wp:posOffset>1452372</wp:posOffset>
            </wp:positionH>
            <wp:positionV relativeFrom="paragraph">
              <wp:posOffset>573333</wp:posOffset>
            </wp:positionV>
            <wp:extent cx="467868" cy="469391"/>
            <wp:effectExtent l="0" t="0" r="0" b="0"/>
            <wp:wrapNone/>
            <wp:docPr id="70" name="Image 70"/>
            <wp:cNvGraphicFramePr/>
            <a:graphic xmlns:a="http://schemas.openxmlformats.org/drawingml/2006/main">
              <a:graphicData uri="http://schemas.openxmlformats.org/drawingml/2006/picture">
                <pic:pic xmlns:pic="http://schemas.openxmlformats.org/drawingml/2006/picture">
                  <pic:nvPicPr>
                    <pic:cNvPr id="70" name="Image 70"/>
                    <pic:cNvPicPr/>
                  </pic:nvPicPr>
                  <pic:blipFill>
                    <a:blip xmlns:r="http://schemas.openxmlformats.org/officeDocument/2006/relationships" r:embed="rId26" cstate="print"/>
                    <a:stretch>
                      <a:fillRect/>
                    </a:stretch>
                  </pic:blipFill>
                  <pic:spPr>
                    <a:xfrm>
                      <a:off x="0" y="0"/>
                      <a:ext cx="467868" cy="469391"/>
                    </a:xfrm>
                    <a:prstGeom prst="rect">
                      <a:avLst/>
                    </a:prstGeom>
                  </pic:spPr>
                </pic:pic>
              </a:graphicData>
            </a:graphic>
          </wp:anchor>
        </w:drawing>
      </w:r>
      <w:r>
        <w:rPr>
          <w:w w:val="110"/>
          <w:sz w:val="17"/>
        </w:rPr>
        <w:t>Il Fondo non si impegna attualmente a investire in investimenti sostenibili ai sensi dello SFDR; di conseguenza, la quota minima di investimenti in attività di transizione e di supporto è pari allo 0%.</w:t>
      </w:r>
    </w:p>
    <w:p>
      <w:pPr>
        <w:pStyle w:val="BodyText"/>
        <w:spacing w:before="49"/>
      </w:pPr>
    </w:p>
    <w:p>
      <w:pPr>
        <w:pStyle w:val="Heading2"/>
        <w:spacing w:line="249" w:lineRule="auto"/>
        <w:ind w:left="3100" w:right="59"/>
      </w:pPr>
      <w:r>
        <w:rPr>
          <w:color w:val="1A365D"/>
          <w:w w:val="105"/>
          <w:sz w:val="19"/>
        </w:rPr>
        <w:t>Qual è la quota minima di investimenti sostenibili con un obiettivo ambientale che non sono allineati alla tassonomia dell’UE?</w:t>
      </w:r>
    </w:p>
    <w:p>
      <w:pPr>
        <w:pStyle w:val="BodyText"/>
        <w:spacing w:before="229"/>
        <w:ind w:left="3100"/>
      </w:pPr>
      <w:r>
        <w:rPr>
          <w:w w:val="110"/>
          <w:sz w:val="17"/>
        </w:rPr>
        <w:t>Il Fondo non si impegna a effettuare alcun investimento sostenibile ai sensi del SFDR.</w:t>
      </w:r>
    </w:p>
    <w:p>
      <w:pPr>
        <w:pStyle w:val="Heading2"/>
        <w:spacing w:before="163"/>
        <w:ind w:left="422"/>
        <w:jc w:val="center"/>
      </w:pPr>
      <w:r>
        <w:rPr>
          <w:b w:val="0"/>
          <w:position w:val="-22"/>
        </w:rPr>
        <w:drawing>
          <wp:inline distT="0" distB="0" distL="0" distR="0">
            <wp:extent cx="438912" cy="397764"/>
            <wp:effectExtent l="0" t="0" r="0" b="0"/>
            <wp:docPr id="71" name="Image 71"/>
            <wp:cNvGraphicFramePr/>
            <a:graphic xmlns:a="http://schemas.openxmlformats.org/drawingml/2006/main">
              <a:graphicData uri="http://schemas.openxmlformats.org/drawingml/2006/picture">
                <pic:pic xmlns:pic="http://schemas.openxmlformats.org/drawingml/2006/picture">
                  <pic:nvPicPr>
                    <pic:cNvPr id="71" name="Image 71"/>
                    <pic:cNvPicPr/>
                  </pic:nvPicPr>
                  <pic:blipFill>
                    <a:blip xmlns:r="http://schemas.openxmlformats.org/officeDocument/2006/relationships" r:embed="rId27" cstate="print"/>
                    <a:stretch>
                      <a:fillRect/>
                    </a:stretch>
                  </pic:blipFill>
                  <pic:spPr>
                    <a:xfrm>
                      <a:off x="0" y="0"/>
                      <a:ext cx="438912" cy="397764"/>
                    </a:xfrm>
                    <a:prstGeom prst="rect">
                      <a:avLst/>
                    </a:prstGeom>
                  </pic:spPr>
                </pic:pic>
              </a:graphicData>
            </a:graphic>
          </wp:inline>
        </w:drawing>
      </w:r>
      <w:r>
        <w:rPr>
          <w:b w:val="0"/>
          <w:sz w:val="19"/>
        </w:rPr>
        <w:t xml:space="preserve"> </w:t>
      </w:r>
      <w:r>
        <w:rPr>
          <w:color w:val="1A365D"/>
          <w:sz w:val="19"/>
        </w:rPr>
        <w:t>Qual è la quota minima di investimenti socialmente sostenibili?</w:t>
      </w:r>
    </w:p>
    <w:p>
      <w:pPr>
        <w:pStyle w:val="BodyText"/>
        <w:spacing w:before="127" w:line="259" w:lineRule="auto"/>
        <w:ind w:left="3100" w:right="59" w:hanging="5"/>
      </w:pPr>
      <w:r>
        <w:rPr>
          <w:w w:val="110"/>
          <w:sz w:val="17"/>
        </w:rPr>
        <w:t>Non applicabile. Il Fondo non si impegna a effettuare investimenti sostenibili ai sensi dello SFDR.</w:t>
      </w:r>
    </w:p>
    <w:p>
      <w:pPr>
        <w:pStyle w:val="BodyText"/>
        <w:spacing w:before="23"/>
      </w:pPr>
    </w:p>
    <w:p>
      <w:pPr>
        <w:pStyle w:val="Heading2"/>
        <w:spacing w:line="249" w:lineRule="auto"/>
        <w:ind w:left="3153"/>
      </w:pPr>
      <w:r>
        <w:drawing>
          <wp:anchor distT="0" distB="0" distL="0" distR="0" simplePos="0" relativeHeight="251687936" behindDoc="0" locked="0" layoutInCell="1" allowOverlap="1">
            <wp:simplePos x="0" y="0"/>
            <wp:positionH relativeFrom="page">
              <wp:posOffset>1495044</wp:posOffset>
            </wp:positionH>
            <wp:positionV relativeFrom="paragraph">
              <wp:posOffset>-62436</wp:posOffset>
            </wp:positionV>
            <wp:extent cx="458723" cy="429767"/>
            <wp:effectExtent l="0" t="0" r="0" b="0"/>
            <wp:wrapNone/>
            <wp:docPr id="72" name="Image 72"/>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xmlns:r="http://schemas.openxmlformats.org/officeDocument/2006/relationships" r:embed="rId28" cstate="print"/>
                    <a:stretch>
                      <a:fillRect/>
                    </a:stretch>
                  </pic:blipFill>
                  <pic:spPr>
                    <a:xfrm>
                      <a:off x="0" y="0"/>
                      <a:ext cx="458723" cy="429767"/>
                    </a:xfrm>
                    <a:prstGeom prst="rect">
                      <a:avLst/>
                    </a:prstGeom>
                  </pic:spPr>
                </pic:pic>
              </a:graphicData>
            </a:graphic>
          </wp:anchor>
        </w:drawing>
      </w:r>
      <w:r>
        <w:rPr>
          <w:color w:val="1A365D"/>
          <w:w w:val="105"/>
          <w:sz w:val="19"/>
        </w:rPr>
        <w:t>Quali investimenti sono inclusi nella voce “#2 Altro”, qual è il loro scopo e esistono garanzie ambientali o sociali minime?</w:t>
      </w:r>
    </w:p>
    <w:p>
      <w:pPr>
        <w:pStyle w:val="BodyText"/>
        <w:rPr>
          <w:b/>
          <w:sz w:val="20"/>
        </w:rPr>
      </w:pPr>
    </w:p>
    <w:p>
      <w:pPr>
        <w:pStyle w:val="BodyText"/>
        <w:spacing w:before="28"/>
        <w:rPr>
          <w:b/>
          <w:sz w:val="20"/>
        </w:rPr>
      </w:pPr>
    </w:p>
    <w:p>
      <w:pPr>
        <w:pStyle w:val="BodyText"/>
        <w:spacing w:before="1" w:line="264" w:lineRule="auto"/>
        <w:ind w:left="3153" w:right="59"/>
      </w:pPr>
      <w:r>
        <w:rPr>
          <w:w w:val="110"/>
          <w:sz w:val="17"/>
        </w:rPr>
        <w:t>Gli investimenti alla voce «#2 Altro» possono includere liquidità e mezzi equivalenti a fini di liquidità, derivati per l’EPM e/o di copertura e/o a fini di investimento, oppure investimenti in titoli che possono comportare un’esposizione a più emittenti sottostanti, quali organismi di investimento collettivo o posizioni su indici. Possono inoltre includere titoli per i quali non sono disponibili dati per misurare le caratteristiche ambientali, che non vengono utilizzati per soddisfare le caratteristiche ambientali o sociali, o che non soddisfano le caratteristiche ambientali o sociali promosse dal Fondo. Fatta eccezione per quanto riguarda la Politica di Esclusione, questi non sono soggetti ad alcuna garanzia minima in ambito ambientale o sociale. Tuttavia, alcune garanzie minime potrebbero comunque essere considerate applicabili nella misura in cui tali partecipazioni siano allineate con una o più, ma non tutte, le caratteristiche ambientali del Fondo.</w:t>
      </w:r>
    </w:p>
    <w:p>
      <w:pPr>
        <w:pStyle w:val="Heading3"/>
        <w:spacing w:before="97"/>
        <w:ind w:left="0" w:right="-15"/>
        <w:jc w:val="right"/>
      </w:pPr>
      <w:r>
        <w:rPr>
          <w:b w:val="0"/>
          <w:i w:val="0"/>
          <w:sz w:val="19"/>
        </w:rPr>
        <w:br w:type="column"/>
      </w:r>
      <w:r>
        <w:rPr>
          <w:color w:val="1A365D"/>
          <w:spacing w:val="-4"/>
          <w:w w:val="115"/>
          <w:sz w:val="19"/>
        </w:rPr>
        <w:t>Cosa</w:t>
      </w:r>
    </w:p>
    <w:p>
      <w:pPr>
        <w:tabs>
          <w:tab w:val="left" w:pos="395"/>
        </w:tabs>
        <w:spacing w:before="10"/>
        <w:ind w:left="0" w:right="-15" w:firstLine="0"/>
        <w:jc w:val="right"/>
        <w:rPr>
          <w:b/>
          <w:i/>
          <w:sz w:val="20"/>
        </w:rPr>
      </w:pPr>
      <w:r>
        <w:rPr>
          <w:b/>
          <w:i/>
          <w:sz w:val="20"/>
        </w:rPr>
        <mc:AlternateContent>
          <mc:Choice Requires="wps">
            <w:drawing>
              <wp:anchor distT="0" distB="0" distL="0" distR="0" simplePos="0" relativeHeight="251688960" behindDoc="0" locked="0" layoutInCell="1" allowOverlap="1">
                <wp:simplePos x="0" y="0"/>
                <wp:positionH relativeFrom="page">
                  <wp:posOffset>1847088</wp:posOffset>
                </wp:positionH>
                <wp:positionV relativeFrom="paragraph">
                  <wp:posOffset>-283009</wp:posOffset>
                </wp:positionV>
                <wp:extent cx="5213985" cy="2921000"/>
                <wp:effectExtent l="0" t="0" r="0" b="0"/>
                <wp:wrapNone/>
                <wp:docPr id="73" name="Textbox 73"/>
                <wp:cNvGraphicFramePr/>
                <a:graphic xmlns:a="http://schemas.openxmlformats.org/drawingml/2006/main">
                  <a:graphicData uri="http://schemas.microsoft.com/office/word/2010/wordprocessingShape">
                    <wps:wsp xmlns:wps="http://schemas.microsoft.com/office/word/2010/wordprocessingShape">
                      <wps:cNvSpPr txBox="1"/>
                      <wps:spPr>
                        <a:xfrm>
                          <a:off x="0" y="0"/>
                          <a:ext cx="5213985" cy="2921000"/>
                        </a:xfrm>
                        <a:prstGeom prst="rect">
                          <a:avLst/>
                        </a:prstGeom>
                      </wps:spPr>
                      <wps:txbx>
                        <w:txbxContent>
                          <w:tbl>
                            <w:tblPr>
                              <w:tblStyle w:val="TableNormal"/>
                              <w:tblW w:w="0" w:type="auto"/>
                              <w:jc w:val="left"/>
                              <w:tblInd w:w="105" w:type="dxa"/>
                              <w:tblBorders>
                                <w:top w:val="single" w:sz="12" w:space="0" w:color="D4D4D4"/>
                                <w:left w:val="single" w:sz="12" w:space="0" w:color="D4D4D4"/>
                                <w:bottom w:val="single" w:sz="12" w:space="0" w:color="D4D4D4"/>
                                <w:right w:val="single" w:sz="12" w:space="0" w:color="D4D4D4"/>
                                <w:insideH w:val="single" w:sz="12" w:space="0" w:color="D4D4D4"/>
                                <w:insideV w:val="single" w:sz="12" w:space="0" w:color="D4D4D4"/>
                              </w:tblBorders>
                              <w:tblLayout w:type="fixed"/>
                              <w:tblCellMar>
                                <w:top w:w="0" w:type="dxa"/>
                                <w:left w:w="0" w:type="dxa"/>
                                <w:bottom w:w="0" w:type="dxa"/>
                                <w:right w:w="0" w:type="dxa"/>
                              </w:tblCellMar>
                              <w:tblLook w:val="01E0"/>
                            </w:tblPr>
                            <w:tblGrid>
                              <w:gridCol w:w="4001"/>
                              <w:gridCol w:w="4003"/>
                            </w:tblGrid>
                            <w:tr>
                              <w:tblPrEx>
                                <w:tblW w:w="0" w:type="auto"/>
                                <w:tblInd w:w="105" w:type="dxa"/>
                                <w:tblLayout w:type="fixed"/>
                                <w:tblLook w:val="01E0"/>
                              </w:tblPrEx>
                              <w:trPr>
                                <w:trHeight w:val="1522"/>
                              </w:trPr>
                              <w:tc>
                                <w:tcPr>
                                  <w:tcW w:w="8004" w:type="dxa"/>
                                  <w:gridSpan w:val="2"/>
                                  <w:tcBorders>
                                    <w:top w:val="nil"/>
                                    <w:left w:val="nil"/>
                                    <w:right w:val="nil"/>
                                  </w:tcBorders>
                                  <w:shd w:val="clear" w:color="auto" w:fill="1A365D"/>
                                </w:tcPr>
                                <w:p>
                                  <w:pPr>
                                    <w:pStyle w:val="TableParagraph"/>
                                    <w:spacing w:before="64" w:line="266" w:lineRule="auto"/>
                                    <w:ind w:left="184" w:right="442"/>
                                    <w:rPr>
                                      <w:sz w:val="18"/>
                                    </w:rPr>
                                  </w:pPr>
                                  <w:r>
                                    <w:rPr>
                                      <w:color w:val="FFFFFF"/>
                                      <w:w w:val="110"/>
                                      <w:sz w:val="17"/>
                                    </w:rPr>
                                    <w:t>I due grafici riportati di seguito mostrano in blu scuro la percentuale minima di investimenti allineati alla tassonomia dell’UE. Poiché non esiste una metodologia adeguata per determinare l’allineamento alla tassonomia delle obbligazioni sovrane*, il primo grafico mostra l’allineamento alla tassonomia in relazione a tutti gli investimenti del prodotto finanziario, comprese le obbligazioni sovrane, mentre il secondo grafico mostra l’allineamento alla tassonomia solo in relazione agli investimenti del prodotto finanziario diversi dalle obbligazioni sovrane.</w:t>
                                  </w:r>
                                </w:p>
                              </w:tc>
                            </w:tr>
                            <w:tr>
                              <w:tblPrEx>
                                <w:tblW w:w="0" w:type="auto"/>
                                <w:tblInd w:w="105" w:type="dxa"/>
                                <w:tblLayout w:type="fixed"/>
                                <w:tblLook w:val="01E0"/>
                              </w:tblPrEx>
                              <w:trPr>
                                <w:trHeight w:val="2581"/>
                              </w:trPr>
                              <w:tc>
                                <w:tcPr>
                                  <w:tcW w:w="4001" w:type="dxa"/>
                                  <w:tcBorders>
                                    <w:left w:val="single" w:sz="36" w:space="0" w:color="1A365D"/>
                                    <w:bottom w:val="single" w:sz="36" w:space="0" w:color="1A365D"/>
                                    <w:right w:val="thickThinMediumGap" w:sz="9" w:space="0" w:color="1A365D"/>
                                  </w:tcBorders>
                                </w:tcPr>
                                <w:p>
                                  <w:pPr>
                                    <w:pStyle w:val="TableParagraph"/>
                                    <w:ind w:left="60" w:right="-58"/>
                                    <w:rPr>
                                      <w:sz w:val="20"/>
                                    </w:rPr>
                                  </w:pPr>
                                  <w:r>
                                    <w:rPr>
                                      <w:sz w:val="20"/>
                                    </w:rPr>
                                    <w:drawing>
                                      <wp:inline distT="0" distB="0" distL="0" distR="0">
                                        <wp:extent cx="2458437" cy="1633727"/>
                                        <wp:effectExtent l="0" t="0" r="0" b="0"/>
                                        <wp:docPr id="74" name="Image 74"/>
                                        <wp:cNvGraphicFramePr/>
                                        <a:graphic xmlns:a="http://schemas.openxmlformats.org/drawingml/2006/main">
                                          <a:graphicData uri="http://schemas.openxmlformats.org/drawingml/2006/picture">
                                            <pic:pic xmlns:pic="http://schemas.openxmlformats.org/drawingml/2006/picture">
                                              <pic:nvPicPr>
                                                <pic:cNvPr id="74" name="Image 74"/>
                                                <pic:cNvPicPr/>
                                              </pic:nvPicPr>
                                              <pic:blipFill>
                                                <a:blip xmlns:r="http://schemas.openxmlformats.org/officeDocument/2006/relationships" r:embed="rId29" cstate="print"/>
                                                <a:stretch>
                                                  <a:fillRect/>
                                                </a:stretch>
                                              </pic:blipFill>
                                              <pic:spPr>
                                                <a:xfrm>
                                                  <a:off x="0" y="0"/>
                                                  <a:ext cx="2458437" cy="1633727"/>
                                                </a:xfrm>
                                                <a:prstGeom prst="rect">
                                                  <a:avLst/>
                                                </a:prstGeom>
                                              </pic:spPr>
                                            </pic:pic>
                                          </a:graphicData>
                                        </a:graphic>
                                      </wp:inline>
                                    </w:drawing>
                                  </w:r>
                                </w:p>
                              </w:tc>
                              <w:tc>
                                <w:tcPr>
                                  <w:tcW w:w="4003" w:type="dxa"/>
                                  <w:tcBorders>
                                    <w:left w:val="thinThickMediumGap" w:sz="9" w:space="0" w:color="1A365D"/>
                                    <w:bottom w:val="single" w:sz="36" w:space="0" w:color="1A365D"/>
                                    <w:right w:val="single" w:sz="36" w:space="0" w:color="1A365D"/>
                                  </w:tcBorders>
                                </w:tcPr>
                                <w:p>
                                  <w:pPr>
                                    <w:pStyle w:val="TableParagraph"/>
                                    <w:ind w:left="60" w:right="-58"/>
                                    <w:rPr>
                                      <w:sz w:val="20"/>
                                    </w:rPr>
                                  </w:pPr>
                                  <w:r>
                                    <w:rPr>
                                      <w:sz w:val="20"/>
                                    </w:rPr>
                                    <w:drawing>
                                      <wp:inline distT="0" distB="0" distL="0" distR="0">
                                        <wp:extent cx="2453845" cy="1633727"/>
                                        <wp:effectExtent l="0" t="0" r="0" b="0"/>
                                        <wp:docPr id="75" name="Image 75"/>
                                        <wp:cNvGraphicFramePr/>
                                        <a:graphic xmlns:a="http://schemas.openxmlformats.org/drawingml/2006/main">
                                          <a:graphicData uri="http://schemas.openxmlformats.org/drawingml/2006/picture">
                                            <pic:pic xmlns:pic="http://schemas.openxmlformats.org/drawingml/2006/picture">
                                              <pic:nvPicPr>
                                                <pic:cNvPr id="75" name="Image 75"/>
                                                <pic:cNvPicPr/>
                                              </pic:nvPicPr>
                                              <pic:blipFill>
                                                <a:blip xmlns:r="http://schemas.openxmlformats.org/officeDocument/2006/relationships" r:embed="rId30" cstate="print"/>
                                                <a:stretch>
                                                  <a:fillRect/>
                                                </a:stretch>
                                              </pic:blipFill>
                                              <pic:spPr>
                                                <a:xfrm>
                                                  <a:off x="0" y="0"/>
                                                  <a:ext cx="2453845" cy="1633727"/>
                                                </a:xfrm>
                                                <a:prstGeom prst="rect">
                                                  <a:avLst/>
                                                </a:prstGeom>
                                              </pic:spPr>
                                            </pic:pic>
                                          </a:graphicData>
                                        </a:graphic>
                                      </wp:inline>
                                    </w:drawing>
                                  </w:r>
                                </w:p>
                              </w:tc>
                            </w:tr>
                            <w:tr>
                              <w:tblPrEx>
                                <w:tblW w:w="0" w:type="auto"/>
                                <w:tblInd w:w="105" w:type="dxa"/>
                                <w:tblLayout w:type="fixed"/>
                                <w:tblLook w:val="01E0"/>
                              </w:tblPrEx>
                              <w:trPr>
                                <w:trHeight w:val="377"/>
                              </w:trPr>
                              <w:tc>
                                <w:tcPr>
                                  <w:tcW w:w="8004" w:type="dxa"/>
                                  <w:gridSpan w:val="2"/>
                                  <w:tcBorders>
                                    <w:top w:val="single" w:sz="36" w:space="0" w:color="1A365D"/>
                                    <w:left w:val="nil"/>
                                    <w:bottom w:val="nil"/>
                                    <w:right w:val="nil"/>
                                  </w:tcBorders>
                                  <w:shd w:val="clear" w:color="auto" w:fill="1A365D"/>
                                </w:tcPr>
                                <w:p>
                                  <w:pPr>
                                    <w:pStyle w:val="TableParagraph"/>
                                    <w:spacing w:before="72"/>
                                    <w:ind w:left="184"/>
                                    <w:rPr>
                                      <w:sz w:val="18"/>
                                    </w:rPr>
                                  </w:pPr>
                                  <w:r>
                                    <w:rPr>
                                      <w:color w:val="FFFFFF"/>
                                      <w:w w:val="105"/>
                                      <w:sz w:val="17"/>
                                    </w:rPr>
                                    <w:t>* Ai fini di questi grafici, per «obbligazioni sovrane» si intendono tutte le esposizioni sovrane.</w:t>
                                  </w:r>
                                </w:p>
                              </w:tc>
                            </w:tr>
                          </w:tbl>
                          <w:p>
                            <w:pPr>
                              <w:pStyle w:val="BodyText"/>
                            </w:pPr>
                          </w:p>
                        </w:txbxContent>
                      </wps:txbx>
                      <wps:bodyPr wrap="square" lIns="0" tIns="0" rIns="0" bIns="0" rtlCol="0"/>
                    </wps:wsp>
                  </a:graphicData>
                </a:graphic>
              </wp:anchor>
            </w:drawing>
          </mc:Choice>
          <mc:Fallback>
            <w:pict>
              <v:shape id="_x0000_s1072" type="#_x0000_t202" style="width:410.55pt;height:230pt;margin-top:-22.28pt;margin-left:145.44pt;mso-position-horizontal-relative:page;position:absolute;z-index:251689984" filled="f" stroked="f">
                <v:textbox inset="0,0,0,0">
                  <w:txbxContent>
                    <w:tbl>
                      <w:tblPr>
                        <w:tblStyle w:val="TableNormal"/>
                        <w:tblW w:w="0" w:type="auto"/>
                        <w:jc w:val="left"/>
                        <w:tblInd w:w="105" w:type="dxa"/>
                        <w:tblBorders>
                          <w:top w:val="single" w:sz="12" w:space="0" w:color="D4D4D4"/>
                          <w:left w:val="single" w:sz="12" w:space="0" w:color="D4D4D4"/>
                          <w:bottom w:val="single" w:sz="12" w:space="0" w:color="D4D4D4"/>
                          <w:right w:val="single" w:sz="12" w:space="0" w:color="D4D4D4"/>
                          <w:insideH w:val="single" w:sz="12" w:space="0" w:color="D4D4D4"/>
                          <w:insideV w:val="single" w:sz="12" w:space="0" w:color="D4D4D4"/>
                        </w:tblBorders>
                        <w:tblLayout w:type="fixed"/>
                        <w:tblCellMar>
                          <w:top w:w="0" w:type="dxa"/>
                          <w:left w:w="0" w:type="dxa"/>
                          <w:bottom w:w="0" w:type="dxa"/>
                          <w:right w:w="0" w:type="dxa"/>
                        </w:tblCellMar>
                        <w:tblLook w:val="01E0"/>
                      </w:tblPr>
                      <w:tblGrid>
                        <w:gridCol w:w="4001"/>
                        <w:gridCol w:w="4003"/>
                      </w:tblGrid>
                      <w:tr>
                        <w:tblPrEx>
                          <w:tblW w:w="0" w:type="auto"/>
                          <w:tblInd w:w="105" w:type="dxa"/>
                          <w:tblLayout w:type="fixed"/>
                          <w:tblLook w:val="01E0"/>
                        </w:tblPrEx>
                        <w:trPr>
                          <w:trHeight w:val="1522"/>
                        </w:trPr>
                        <w:tc>
                          <w:tcPr>
                            <w:tcW w:w="8004" w:type="dxa"/>
                            <w:gridSpan w:val="2"/>
                            <w:tcBorders>
                              <w:top w:val="nil"/>
                              <w:left w:val="nil"/>
                              <w:right w:val="nil"/>
                            </w:tcBorders>
                            <w:shd w:val="clear" w:color="auto" w:fill="1A365D"/>
                          </w:tcPr>
                          <w:p>
                            <w:pPr>
                              <w:pStyle w:val="TableParagraph"/>
                              <w:spacing w:before="64" w:line="266" w:lineRule="auto"/>
                              <w:ind w:left="184" w:right="442"/>
                              <w:rPr>
                                <w:sz w:val="18"/>
                              </w:rPr>
                            </w:pPr>
                            <w:r>
                              <w:rPr>
                                <w:color w:val="FFFFFF"/>
                                <w:w w:val="110"/>
                                <w:sz w:val="18"/>
                              </w:rPr>
                              <w:t>I due grafici riportati di seguito mostrano in blu scuro la percentuale minima di investimenti conformi alla tassonomia dell’UE. Poiché non esiste una metodologia adeguata per determinare la conformità alla tassonomia dei titoli di Stato*, il primo grafico illustra la conformità alla tassonomia in relazione a tutti gli investimenti del prodotto finanziario, compresi i titoli di Stato, mentre il secondo grafico mostra la conformità alla tassonomia solo in relazione agli investimenti del prodotto finanziario diversi dai titoli di Stato.</w:t>
                            </w:r>
                          </w:p>
                        </w:tc>
                      </w:tr>
                      <w:tr>
                        <w:tblPrEx>
                          <w:tblW w:w="0" w:type="auto"/>
                          <w:tblInd w:w="105" w:type="dxa"/>
                          <w:tblLayout w:type="fixed"/>
                          <w:tblLook w:val="01E0"/>
                        </w:tblPrEx>
                        <w:trPr>
                          <w:trHeight w:val="2581"/>
                        </w:trPr>
                        <w:tc>
                          <w:tcPr>
                            <w:tcW w:w="4001" w:type="dxa"/>
                            <w:tcBorders>
                              <w:left w:val="single" w:sz="36" w:space="0" w:color="1A365D"/>
                              <w:bottom w:val="single" w:sz="36" w:space="0" w:color="1A365D"/>
                              <w:right w:val="thickThinMediumGap" w:sz="9" w:space="0" w:color="1A365D"/>
                            </w:tcBorders>
                          </w:tcPr>
                          <w:p>
                            <w:pPr>
                              <w:pStyle w:val="TableParagraph"/>
                              <w:ind w:left="60" w:right="-58"/>
                              <w:rPr>
                                <w:sz w:val="20"/>
                              </w:rPr>
                            </w:pPr>
                            <w:drawing>
                              <wp:inline distT="0" distB="0" distL="0" distR="0">
                                <wp:extent cx="2458437" cy="1633727"/>
                                <wp:effectExtent l="0" t="0" r="0" b="0"/>
                                <wp:docPr id="76" name="Image 76"/>
                                <wp:cNvGraphicFramePr/>
                                <a:graphic xmlns:a="http://schemas.openxmlformats.org/drawingml/2006/main">
                                  <a:graphicData uri="http://schemas.openxmlformats.org/drawingml/2006/picture">
                                    <pic:pic xmlns:pic="http://schemas.openxmlformats.org/drawingml/2006/picture">
                                      <pic:nvPicPr>
                                        <pic:cNvPr id="76" name="Image 76"/>
                                        <pic:cNvPicPr/>
                                      </pic:nvPicPr>
                                      <pic:blipFill>
                                        <a:blip xmlns:r="http://schemas.openxmlformats.org/officeDocument/2006/relationships" r:embed="rId29" cstate="print"/>
                                        <a:stretch>
                                          <a:fillRect/>
                                        </a:stretch>
                                      </pic:blipFill>
                                      <pic:spPr>
                                        <a:xfrm>
                                          <a:off x="0" y="0"/>
                                          <a:ext cx="2458437" cy="1633727"/>
                                        </a:xfrm>
                                        <a:prstGeom prst="rect">
                                          <a:avLst/>
                                        </a:prstGeom>
                                      </pic:spPr>
                                    </pic:pic>
                                  </a:graphicData>
                                </a:graphic>
                              </wp:inline>
                            </w:drawing>
                          </w:p>
                        </w:tc>
                        <w:tc>
                          <w:tcPr>
                            <w:tcW w:w="4003" w:type="dxa"/>
                            <w:tcBorders>
                              <w:left w:val="thinThickMediumGap" w:sz="9" w:space="0" w:color="1A365D"/>
                              <w:bottom w:val="single" w:sz="36" w:space="0" w:color="1A365D"/>
                              <w:right w:val="single" w:sz="36" w:space="0" w:color="1A365D"/>
                            </w:tcBorders>
                          </w:tcPr>
                          <w:p>
                            <w:pPr>
                              <w:pStyle w:val="TableParagraph"/>
                              <w:ind w:left="60" w:right="-58"/>
                              <w:rPr>
                                <w:sz w:val="20"/>
                              </w:rPr>
                            </w:pPr>
                            <w:drawing>
                              <wp:inline distT="0" distB="0" distL="0" distR="0">
                                <wp:extent cx="2453845" cy="1633727"/>
                                <wp:effectExtent l="0" t="0" r="0" b="0"/>
                                <wp:docPr id="77" name="Image 77"/>
                                <wp:cNvGraphicFramePr/>
                                <a:graphic xmlns:a="http://schemas.openxmlformats.org/drawingml/2006/main">
                                  <a:graphicData uri="http://schemas.openxmlformats.org/drawingml/2006/picture">
                                    <pic:pic xmlns:pic="http://schemas.openxmlformats.org/drawingml/2006/picture">
                                      <pic:nvPicPr>
                                        <pic:cNvPr id="77" name="Image 77"/>
                                        <pic:cNvPicPr/>
                                      </pic:nvPicPr>
                                      <pic:blipFill>
                                        <a:blip xmlns:r="http://schemas.openxmlformats.org/officeDocument/2006/relationships" r:embed="rId30" cstate="print"/>
                                        <a:stretch>
                                          <a:fillRect/>
                                        </a:stretch>
                                      </pic:blipFill>
                                      <pic:spPr>
                                        <a:xfrm>
                                          <a:off x="0" y="0"/>
                                          <a:ext cx="2453845" cy="1633727"/>
                                        </a:xfrm>
                                        <a:prstGeom prst="rect">
                                          <a:avLst/>
                                        </a:prstGeom>
                                      </pic:spPr>
                                    </pic:pic>
                                  </a:graphicData>
                                </a:graphic>
                              </wp:inline>
                            </w:drawing>
                          </w:p>
                        </w:tc>
                      </w:tr>
                      <w:tr>
                        <w:tblPrEx>
                          <w:tblW w:w="0" w:type="auto"/>
                          <w:tblInd w:w="105" w:type="dxa"/>
                          <w:tblLayout w:type="fixed"/>
                          <w:tblLook w:val="01E0"/>
                        </w:tblPrEx>
                        <w:trPr>
                          <w:trHeight w:val="377"/>
                        </w:trPr>
                        <w:tc>
                          <w:tcPr>
                            <w:tcW w:w="8004" w:type="dxa"/>
                            <w:gridSpan w:val="2"/>
                            <w:tcBorders>
                              <w:top w:val="single" w:sz="36" w:space="0" w:color="1A365D"/>
                              <w:left w:val="nil"/>
                              <w:bottom w:val="nil"/>
                              <w:right w:val="nil"/>
                            </w:tcBorders>
                            <w:shd w:val="clear" w:color="auto" w:fill="1A365D"/>
                          </w:tcPr>
                          <w:p>
                            <w:pPr>
                              <w:pStyle w:val="TableParagraph"/>
                              <w:spacing w:before="72"/>
                              <w:ind w:left="184"/>
                              <w:rPr>
                                <w:sz w:val="18"/>
                              </w:rPr>
                            </w:pPr>
                            <w:r>
                              <w:rPr>
                                <w:color w:val="FFFFFF"/>
                                <w:w w:val="105"/>
                                <w:sz w:val="18"/>
                              </w:rPr>
                              <w:t>* Ai fini di questi grafici, per «obbligazioni sovrane» si intendono tutte le esposizioni sovrane.</w:t>
                            </w:r>
                          </w:p>
                        </w:tc>
                      </w:tr>
                    </w:tbl>
                    <w:p>
                      <w:pPr>
                        <w:pStyle w:val="BodyText"/>
                      </w:pPr>
                    </w:p>
                  </w:txbxContent>
                </v:textbox>
              </v:shape>
            </w:pict>
          </mc:Fallback>
        </mc:AlternateContent>
      </w:r>
      <w:r>
        <w:rPr>
          <w:b/>
          <w:i/>
          <w:color w:val="1A365D"/>
          <w:spacing w:val="-5"/>
          <w:w w:val="115"/>
          <w:sz w:val="19"/>
        </w:rPr>
        <w:t>è</w:t>
      </w:r>
      <w:r>
        <w:rPr>
          <w:b/>
          <w:i/>
          <w:color w:val="1A365D"/>
          <w:sz w:val="19"/>
        </w:rPr>
        <w:tab/>
      </w:r>
      <w:r>
        <w:rPr>
          <w:b/>
          <w:i/>
          <w:color w:val="1A365D"/>
          <w:spacing w:val="-5"/>
          <w:w w:val="115"/>
          <w:sz w:val="19"/>
        </w:rPr>
        <w:t>il</w:t>
      </w:r>
    </w:p>
    <w:p>
      <w:pPr>
        <w:spacing w:after="0"/>
        <w:jc w:val="right"/>
        <w:rPr>
          <w:b/>
          <w:i/>
          <w:sz w:val="20"/>
        </w:rPr>
        <w:sectPr>
          <w:type w:val="continuous"/>
          <w:pgSz w:w="11910" w:h="16840"/>
          <w:pgMar w:top="1200" w:right="0" w:bottom="840" w:left="0" w:header="10" w:footer="613"/>
          <w:cols w:num="2" w:space="708" w:equalWidth="0">
            <w:col w:w="10921" w:space="40"/>
            <w:col w:w="949" w:space="0"/>
          </w:cols>
        </w:sectPr>
      </w:pPr>
    </w:p>
    <w:p>
      <w:pPr>
        <w:pStyle w:val="BodyText"/>
        <w:spacing w:before="165"/>
        <w:rPr>
          <w:b/>
          <w:i/>
          <w:sz w:val="20"/>
        </w:rPr>
      </w:pPr>
    </w:p>
    <w:p>
      <w:pPr>
        <w:pStyle w:val="Heading2"/>
        <w:spacing w:line="249" w:lineRule="auto"/>
        <w:ind w:right="888"/>
      </w:pPr>
      <w:r>
        <w:drawing>
          <wp:anchor distT="0" distB="0" distL="0" distR="0" simplePos="0" relativeHeight="251691008" behindDoc="0" locked="0" layoutInCell="1" allowOverlap="1">
            <wp:simplePos x="0" y="0"/>
            <wp:positionH relativeFrom="page">
              <wp:posOffset>16764</wp:posOffset>
            </wp:positionH>
            <wp:positionV relativeFrom="paragraph">
              <wp:posOffset>-65851</wp:posOffset>
            </wp:positionV>
            <wp:extent cx="1258823" cy="445007"/>
            <wp:effectExtent l="0" t="0" r="0" b="0"/>
            <wp:wrapNone/>
            <wp:docPr id="78" name="Image 78"/>
            <wp:cNvGraphicFramePr/>
            <a:graphic xmlns:a="http://schemas.openxmlformats.org/drawingml/2006/main">
              <a:graphicData uri="http://schemas.openxmlformats.org/drawingml/2006/picture">
                <pic:pic xmlns:pic="http://schemas.openxmlformats.org/drawingml/2006/picture">
                  <pic:nvPicPr>
                    <pic:cNvPr id="78" name="Image 78"/>
                    <pic:cNvPicPr/>
                  </pic:nvPicPr>
                  <pic:blipFill>
                    <a:blip xmlns:r="http://schemas.openxmlformats.org/officeDocument/2006/relationships" r:embed="rId31" cstate="print"/>
                    <a:stretch>
                      <a:fillRect/>
                    </a:stretch>
                  </pic:blipFill>
                  <pic:spPr>
                    <a:xfrm>
                      <a:off x="0" y="0"/>
                      <a:ext cx="1258823" cy="445007"/>
                    </a:xfrm>
                    <a:prstGeom prst="rect">
                      <a:avLst/>
                    </a:prstGeom>
                  </pic:spPr>
                </pic:pic>
              </a:graphicData>
            </a:graphic>
          </wp:anchor>
        </w:drawing>
      </w:r>
      <w:r>
        <w:rPr>
          <w:color w:val="1A365D"/>
          <w:w w:val="105"/>
          <w:sz w:val="19"/>
        </w:rPr>
        <w:t>Esiste un indice specifico designato come benchmark di riferimento per determinare se questo prodotto finanziario sia allineato alle caratteristiche ambientali e/o sociali che promuove?</w:t>
      </w:r>
    </w:p>
    <w:p>
      <w:pPr>
        <w:pStyle w:val="BodyText"/>
        <w:spacing w:before="80"/>
        <w:rPr>
          <w:b/>
          <w:sz w:val="20"/>
        </w:rPr>
      </w:pPr>
    </w:p>
    <w:p>
      <w:pPr>
        <w:pStyle w:val="BodyText"/>
        <w:spacing w:line="259" w:lineRule="auto"/>
        <w:ind w:left="2419" w:right="957"/>
      </w:pPr>
      <w:r>
        <mc:AlternateContent>
          <mc:Choice Requires="wps">
            <w:drawing>
              <wp:anchor distT="0" distB="0" distL="0" distR="0" simplePos="0" relativeHeight="251693056" behindDoc="0" locked="0" layoutInCell="1" allowOverlap="1">
                <wp:simplePos x="0" y="0"/>
                <wp:positionH relativeFrom="page">
                  <wp:posOffset>33528</wp:posOffset>
                </wp:positionH>
                <wp:positionV relativeFrom="paragraph">
                  <wp:posOffset>-28475</wp:posOffset>
                </wp:positionV>
                <wp:extent cx="1263650" cy="929640"/>
                <wp:effectExtent l="0" t="0" r="0" b="0"/>
                <wp:wrapNone/>
                <wp:docPr id="79" name="Textbox 79"/>
                <wp:cNvGraphicFramePr/>
                <a:graphic xmlns:a="http://schemas.openxmlformats.org/drawingml/2006/main">
                  <a:graphicData uri="http://schemas.microsoft.com/office/word/2010/wordprocessingShape">
                    <wps:wsp xmlns:wps="http://schemas.microsoft.com/office/word/2010/wordprocessingShape">
                      <wps:cNvSpPr txBox="1"/>
                      <wps:spPr>
                        <a:xfrm>
                          <a:off x="0" y="0"/>
                          <a:ext cx="1263650" cy="929640"/>
                        </a:xfrm>
                        <a:prstGeom prst="rect">
                          <a:avLst/>
                        </a:prstGeom>
                        <a:solidFill>
                          <a:srgbClr val="DBD8D6"/>
                        </a:solidFill>
                      </wps:spPr>
                      <wps:txbx>
                        <w:txbxContent>
                          <w:p>
                            <w:pPr>
                              <w:spacing w:before="42" w:line="259" w:lineRule="auto"/>
                              <w:ind w:left="36" w:right="278" w:firstLine="0"/>
                              <w:jc w:val="left"/>
                              <w:rPr>
                                <w:sz w:val="16"/>
                              </w:rPr>
                            </w:pPr>
                            <w:r>
                              <w:rPr>
                                <w:b/>
                                <w:color w:val="3382A8"/>
                                <w:sz w:val="15"/>
                              </w:rPr>
                              <w:t xml:space="preserve">I benchmark di riferimento </w:t>
                            </w:r>
                            <w:r>
                              <w:rPr>
                                <w:w w:val="110"/>
                                <w:sz w:val="15"/>
                              </w:rPr>
                              <w:t>sono indici che misurano se il prodotto finanziario raggiunge le caratteristiche ambientali o sociali che promuove.</w:t>
                            </w:r>
                          </w:p>
                        </w:txbxContent>
                      </wps:txbx>
                      <wps:bodyPr wrap="square" lIns="0" tIns="0" rIns="0" bIns="0" rtlCol="0"/>
                    </wps:wsp>
                  </a:graphicData>
                </a:graphic>
              </wp:anchor>
            </w:drawing>
          </mc:Choice>
          <mc:Fallback>
            <w:pict>
              <v:shape id="_x0000_s1073" type="#_x0000_t202" style="width:99.5pt;height:73.2pt;margin-top:-2.24pt;margin-left:2.64pt;mso-position-horizontal-relative:page;position:absolute;z-index:251694080" filled="t" fillcolor="#dbd8d6" stroked="f">
                <v:fill type="solid"/>
                <v:textbox inset="0,0,0,0">
                  <w:txbxContent>
                    <w:p>
                      <w:pPr>
                        <w:spacing w:before="42" w:line="259" w:lineRule="auto"/>
                        <w:ind w:left="36" w:right="278" w:firstLine="0"/>
                        <w:jc w:val="left"/>
                        <w:rPr>
                          <w:sz w:val="16"/>
                        </w:rPr>
                      </w:pPr>
                      <w:r>
                        <w:rPr>
                          <w:b/>
                          <w:color w:val="3382A8"/>
                          <w:sz w:val="16"/>
                        </w:rPr>
                        <w:t xml:space="preserve">I benchmark di riferimento </w:t>
                      </w:r>
                      <w:r>
                        <w:rPr>
                          <w:w w:val="110"/>
                          <w:sz w:val="16"/>
                        </w:rPr>
                        <w:t>sono indici che misurano se il prodotto finanziario raggiunge le caratteristiche ambientali o sociali che promuovono.</w:t>
                      </w:r>
                    </w:p>
                  </w:txbxContent>
                </v:textbox>
              </v:shape>
            </w:pict>
          </mc:Fallback>
        </mc:AlternateContent>
      </w:r>
      <w:r>
        <w:rPr>
          <w:w w:val="110"/>
          <w:sz w:val="17"/>
        </w:rPr>
        <w:t>Non applicabile. Sebbene l’Indice sia utilizzato a fini di confronto WACI, non è stato designato un benchmark di riferimento allo scopo di raggiungere le caratteristiche ambientali promosse dal Fondo.</w:t>
      </w:r>
    </w:p>
    <w:p>
      <w:pPr>
        <w:pStyle w:val="Heading3"/>
        <w:spacing w:before="130" w:line="249" w:lineRule="auto"/>
        <w:ind w:left="2803"/>
      </w:pPr>
      <w:r>
        <w:rPr>
          <w:color w:val="1A365D"/>
          <w:sz w:val="19"/>
        </w:rPr>
        <w:t>In che modo l’indice di riferimento è costantemente allineato a ciascuna delle caratteristiche ambientali o sociali promosse dal prodotto finanziario?</w:t>
      </w:r>
    </w:p>
    <w:p>
      <w:pPr>
        <w:pStyle w:val="BodyText"/>
        <w:spacing w:before="90"/>
        <w:ind w:left="2803"/>
      </w:pPr>
      <w:r>
        <w:rPr>
          <w:spacing w:val="-2"/>
          <w:w w:val="110"/>
          <w:sz w:val="17"/>
        </w:rPr>
        <w:t>Non applicabile.</w:t>
      </w:r>
    </w:p>
    <w:p>
      <w:pPr>
        <w:pStyle w:val="Heading3"/>
        <w:spacing w:before="146" w:line="252" w:lineRule="auto"/>
        <w:ind w:left="2817"/>
      </w:pPr>
      <w:r>
        <w:rPr>
          <w:color w:val="1A365D"/>
          <w:w w:val="110"/>
          <w:sz w:val="19"/>
        </w:rPr>
        <w:t>In che modo viene garantito su base continua l’allineamento della strategia di investimento con la metodologia dell’indice?</w:t>
      </w:r>
    </w:p>
    <w:p>
      <w:pPr>
        <w:pStyle w:val="BodyText"/>
        <w:spacing w:before="93"/>
        <w:ind w:left="2817"/>
      </w:pPr>
      <w:r>
        <w:rPr>
          <w:spacing w:val="-2"/>
          <w:w w:val="110"/>
          <w:sz w:val="17"/>
        </w:rPr>
        <w:t>Non applicabile.</w:t>
      </w:r>
    </w:p>
    <w:p>
      <w:pPr>
        <w:pStyle w:val="Heading3"/>
        <w:spacing w:before="153"/>
        <w:ind w:left="2810" w:right="0"/>
      </w:pPr>
      <w:r>
        <w:rPr>
          <w:color w:val="1A365D"/>
          <w:sz w:val="19"/>
        </w:rPr>
        <w:t>In che modo l’indice designato differisce da un indice di mercato ampio e pertinente?</w:t>
      </w:r>
    </w:p>
    <w:p>
      <w:pPr>
        <w:pStyle w:val="BodyText"/>
        <w:spacing w:before="98"/>
        <w:ind w:left="2810"/>
      </w:pPr>
      <w:r>
        <w:rPr>
          <w:spacing w:val="-2"/>
          <w:w w:val="110"/>
          <w:sz w:val="17"/>
        </w:rPr>
        <w:t>Non applicabile.</w:t>
      </w:r>
    </w:p>
    <w:p>
      <w:pPr>
        <w:pStyle w:val="Heading3"/>
        <w:spacing w:before="156"/>
        <w:ind w:left="2810" w:right="0"/>
      </w:pPr>
      <w:r>
        <w:rPr>
          <w:color w:val="1A365D"/>
          <w:sz w:val="19"/>
        </w:rPr>
        <w:t>Dove è possibile consultare la metodologia utilizzata per il calcolo dell’indice designato?</w:t>
      </w:r>
    </w:p>
    <w:p>
      <w:pPr>
        <w:pStyle w:val="BodyText"/>
        <w:spacing w:before="118"/>
        <w:ind w:left="2810"/>
      </w:pPr>
      <w:r>
        <w:drawing>
          <wp:anchor distT="0" distB="0" distL="0" distR="0" simplePos="0" relativeHeight="251692032" behindDoc="0" locked="0" layoutInCell="1" allowOverlap="1">
            <wp:simplePos x="0" y="0"/>
            <wp:positionH relativeFrom="page">
              <wp:posOffset>7620</wp:posOffset>
            </wp:positionH>
            <wp:positionV relativeFrom="paragraph">
              <wp:posOffset>332643</wp:posOffset>
            </wp:positionV>
            <wp:extent cx="1382267" cy="495300"/>
            <wp:effectExtent l="0" t="0" r="0" b="0"/>
            <wp:wrapNone/>
            <wp:docPr id="80" name="Image 80"/>
            <wp:cNvGraphicFramePr/>
            <a:graphic xmlns:a="http://schemas.openxmlformats.org/drawingml/2006/main">
              <a:graphicData uri="http://schemas.openxmlformats.org/drawingml/2006/picture">
                <pic:pic xmlns:pic="http://schemas.openxmlformats.org/drawingml/2006/picture">
                  <pic:nvPicPr>
                    <pic:cNvPr id="80" name="Image 80"/>
                    <pic:cNvPicPr/>
                  </pic:nvPicPr>
                  <pic:blipFill>
                    <a:blip xmlns:r="http://schemas.openxmlformats.org/officeDocument/2006/relationships" r:embed="rId32" cstate="print"/>
                    <a:stretch>
                      <a:fillRect/>
                    </a:stretch>
                  </pic:blipFill>
                  <pic:spPr>
                    <a:xfrm>
                      <a:off x="0" y="0"/>
                      <a:ext cx="1382267" cy="495300"/>
                    </a:xfrm>
                    <a:prstGeom prst="rect">
                      <a:avLst/>
                    </a:prstGeom>
                  </pic:spPr>
                </pic:pic>
              </a:graphicData>
            </a:graphic>
          </wp:anchor>
        </w:drawing>
      </w:r>
      <w:r>
        <w:rPr>
          <w:spacing w:val="-2"/>
          <w:w w:val="110"/>
          <w:sz w:val="17"/>
        </w:rPr>
        <w:t>Non applicabile.</w:t>
      </w:r>
    </w:p>
    <w:p>
      <w:pPr>
        <w:pStyle w:val="BodyText"/>
      </w:pPr>
    </w:p>
    <w:p>
      <w:pPr>
        <w:pStyle w:val="BodyText"/>
        <w:spacing w:before="58"/>
      </w:pPr>
    </w:p>
    <w:p>
      <w:pPr>
        <w:pStyle w:val="Heading2"/>
        <w:spacing w:before="1"/>
      </w:pPr>
      <w:r>
        <w:rPr>
          <w:color w:val="1A365D"/>
          <w:w w:val="105"/>
          <w:sz w:val="19"/>
        </w:rPr>
        <w:t>Dove posso trovare online ulteriori informazioni specifiche sul prodotto?</w:t>
      </w:r>
    </w:p>
    <w:p>
      <w:pPr>
        <w:pStyle w:val="BodyText"/>
        <w:rPr>
          <w:b/>
        </w:rPr>
      </w:pPr>
    </w:p>
    <w:p>
      <w:pPr>
        <w:pStyle w:val="BodyText"/>
        <w:spacing w:before="25"/>
        <w:rPr>
          <w:b/>
        </w:rPr>
      </w:pPr>
    </w:p>
    <w:p>
      <w:pPr>
        <w:pStyle w:val="BodyText"/>
        <w:spacing w:line="259" w:lineRule="auto"/>
        <w:ind w:left="112"/>
      </w:pPr>
      <w:r>
        <w:rPr>
          <w:w w:val="110"/>
          <w:sz w:val="17"/>
        </w:rPr>
        <w:t>Ulteriori informazioni specifiche sul prodotto sono disponibili sul sito web:</w:t>
      </w:r>
      <w:hyperlink r:id="rId33">
        <w:r>
          <w:rPr>
            <w:color w:val="3382A8"/>
            <w:spacing w:val="-2"/>
            <w:w w:val="110"/>
            <w:sz w:val="17"/>
            <w:u w:val="single" w:color="3382A8"/>
          </w:rPr>
          <w:t xml:space="preserve"> https://docs.wellington.com/list/public/documents?query=TEMPLATE_TYP=SustainabilityRelatedDisclosure%26in(fundId,F000043)%26langua </w:t>
        </w:r>
        <w:r>
          <w:rPr>
            <w:color w:val="3382A8"/>
            <w:spacing w:val="-2"/>
            <w:w w:val="110"/>
            <w:sz w:val="17"/>
            <w:u w:val="single" w:color="3382A8"/>
          </w:rPr>
          <w:t>geCd=EN&amp;recentMatch=true&amp;download=true</w:t>
        </w:r>
      </w:hyperlink>
    </w:p>
    <w:sectPr>
      <w:pgSz w:w="11910" w:h="16840"/>
      <w:pgMar w:top="1200" w:right="0" w:bottom="840" w:left="0" w:header="10" w:footer="613"/>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charset w:val="01"/>
    <w:family w:val="roman"/>
    <w:pitch w:val="variable"/>
  </w:font>
  <w:font w:name="Calibri">
    <w:altName w:val="Calibri"/>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0"/>
      </w:rPr>
    </w:pPr>
    <w:r>
      <w:rPr>
        <w:sz w:val="20"/>
      </w:rPr>
      <mc:AlternateContent>
        <mc:Choice Requires="wps">
          <w:drawing>
            <wp:anchor distT="0" distB="0" distL="0" distR="0" simplePos="0" relativeHeight="251658240" behindDoc="1" locked="0" layoutInCell="1" allowOverlap="1">
              <wp:simplePos x="0" y="0"/>
              <wp:positionH relativeFrom="page">
                <wp:posOffset>-3559</wp:posOffset>
              </wp:positionH>
              <wp:positionV relativeFrom="page">
                <wp:posOffset>10133679</wp:posOffset>
              </wp:positionV>
              <wp:extent cx="2604135" cy="177165"/>
              <wp:effectExtent l="0" t="0" r="0" b="0"/>
              <wp:wrapNone/>
              <wp:docPr id="4" name="Textbox 4"/>
              <wp:cNvGraphicFramePr/>
              <a:graphic xmlns:a="http://schemas.openxmlformats.org/drawingml/2006/main">
                <a:graphicData uri="http://schemas.microsoft.com/office/word/2010/wordprocessingShape">
                  <wps:wsp xmlns:wps="http://schemas.microsoft.com/office/word/2010/wordprocessingShape">
                    <wps:cNvSpPr txBox="1"/>
                    <wps:spPr>
                      <a:xfrm>
                        <a:off x="0" y="0"/>
                        <a:ext cx="2604135" cy="177165"/>
                      </a:xfrm>
                      <a:prstGeom prst="rect">
                        <a:avLst/>
                      </a:prstGeom>
                    </wps:spPr>
                    <wps:txbx>
                      <w:txbxContent>
                        <w:p>
                          <w:pPr>
                            <w:spacing w:before="18"/>
                            <w:ind w:left="20" w:right="0" w:firstLine="0"/>
                            <w:jc w:val="left"/>
                            <w:rPr>
                              <w:sz w:val="18"/>
                            </w:rPr>
                          </w:pPr>
                          <w:r>
                            <w:rPr>
                              <w:spacing w:val="9"/>
                              <w:w w:val="95"/>
                              <w:position w:val="-2"/>
                              <w:sz w:val="19"/>
                            </w:rPr>
                            <w:t>N</w:t>
                          </w:r>
                          <w:r>
                            <w:rPr>
                              <w:spacing w:val="11"/>
                              <w:w w:val="95"/>
                              <w:position w:val="-2"/>
                              <w:sz w:val="19"/>
                            </w:rPr>
                            <w:t>A</w:t>
                          </w:r>
                          <w:r>
                            <w:rPr>
                              <w:spacing w:val="10"/>
                              <w:w w:val="95"/>
                              <w:position w:val="-2"/>
                              <w:sz w:val="19"/>
                            </w:rPr>
                            <w:t>_</w:t>
                          </w:r>
                          <w:r>
                            <w:rPr>
                              <w:spacing w:val="9"/>
                              <w:w w:val="95"/>
                              <w:position w:val="-2"/>
                              <w:sz w:val="19"/>
                            </w:rPr>
                            <w:t>D</w:t>
                          </w:r>
                          <w:r>
                            <w:rPr>
                              <w:spacing w:val="11"/>
                              <w:w w:val="95"/>
                              <w:position w:val="-2"/>
                              <w:sz w:val="19"/>
                            </w:rPr>
                            <w:t>E</w:t>
                          </w:r>
                          <w:r>
                            <w:rPr>
                              <w:spacing w:val="-30"/>
                              <w:w w:val="95"/>
                              <w:position w:val="-2"/>
                              <w:sz w:val="19"/>
                            </w:rPr>
                            <w:t>C</w:t>
                          </w:r>
                          <w:r>
                            <w:rPr>
                              <w:color w:val="1A365D"/>
                              <w:spacing w:val="-133"/>
                              <w:w w:val="101"/>
                              <w:sz w:val="17"/>
                            </w:rPr>
                            <w:t xml:space="preserve"> W</w:t>
                          </w:r>
                          <w:r>
                            <w:rPr>
                              <w:spacing w:val="8"/>
                              <w:w w:val="95"/>
                              <w:position w:val="-2"/>
                              <w:sz w:val="19"/>
                            </w:rPr>
                            <w:t>H</w:t>
                          </w:r>
                          <w:r>
                            <w:rPr>
                              <w:color w:val="1A365D"/>
                              <w:spacing w:val="-75"/>
                              <w:w w:val="103"/>
                              <w:sz w:val="17"/>
                            </w:rPr>
                            <w:t xml:space="preserve"> e</w:t>
                          </w:r>
                          <w:r>
                            <w:rPr>
                              <w:spacing w:val="-27"/>
                              <w:w w:val="95"/>
                              <w:position w:val="-2"/>
                              <w:sz w:val="19"/>
                            </w:rPr>
                            <w:t>E</w:t>
                          </w:r>
                          <w:r>
                            <w:rPr>
                              <w:color w:val="1A365D"/>
                              <w:spacing w:val="-4"/>
                              <w:sz w:val="17"/>
                            </w:rPr>
                            <w:t xml:space="preserve"> l</w:t>
                          </w:r>
                          <w:r>
                            <w:rPr>
                              <w:spacing w:val="-110"/>
                              <w:w w:val="95"/>
                              <w:position w:val="-2"/>
                              <w:sz w:val="19"/>
                            </w:rPr>
                            <w:t>R</w:t>
                          </w:r>
                          <w:r>
                            <w:rPr>
                              <w:color w:val="1A365D"/>
                              <w:spacing w:val="-84"/>
                              <w:w w:val="112"/>
                              <w:sz w:val="17"/>
                            </w:rPr>
                            <w:t xml:space="preserve"> lin</w:t>
                          </w:r>
                          <w:r>
                            <w:rPr>
                              <w:spacing w:val="-18"/>
                              <w:w w:val="95"/>
                              <w:position w:val="-2"/>
                              <w:sz w:val="19"/>
                            </w:rPr>
                            <w:t>T</w:t>
                          </w:r>
                          <w:r>
                            <w:rPr>
                              <w:color w:val="1A365D"/>
                              <w:spacing w:val="-62"/>
                              <w:w w:val="107"/>
                              <w:sz w:val="17"/>
                            </w:rPr>
                            <w:t xml:space="preserve"> g</w:t>
                          </w:r>
                          <w:r>
                            <w:rPr>
                              <w:spacing w:val="10"/>
                              <w:w w:val="95"/>
                              <w:position w:val="-2"/>
                              <w:sz w:val="19"/>
                            </w:rPr>
                            <w:t>.</w:t>
                          </w:r>
                          <w:r>
                            <w:rPr>
                              <w:spacing w:val="-68"/>
                              <w:w w:val="95"/>
                              <w:position w:val="-2"/>
                              <w:sz w:val="19"/>
                            </w:rPr>
                            <w:t>9</w:t>
                          </w:r>
                          <w:r>
                            <w:rPr>
                              <w:color w:val="1A365D"/>
                              <w:spacing w:val="-67"/>
                              <w:w w:val="105"/>
                              <w:sz w:val="17"/>
                            </w:rPr>
                            <w:t xml:space="preserve"> to</w:t>
                          </w:r>
                          <w:r>
                            <w:rPr>
                              <w:spacing w:val="-15"/>
                              <w:w w:val="95"/>
                              <w:position w:val="-2"/>
                              <w:sz w:val="19"/>
                            </w:rPr>
                            <w:t>5</w:t>
                          </w:r>
                          <w:r>
                            <w:rPr>
                              <w:color w:val="1A365D"/>
                              <w:spacing w:val="-71"/>
                              <w:w w:val="112"/>
                              <w:sz w:val="17"/>
                            </w:rPr>
                            <w:t xml:space="preserve"> n</w:t>
                          </w:r>
                          <w:r>
                            <w:rPr>
                              <w:spacing w:val="12"/>
                              <w:w w:val="95"/>
                              <w:position w:val="-2"/>
                              <w:sz w:val="19"/>
                            </w:rPr>
                            <w:t>6</w:t>
                          </w:r>
                          <w:r>
                            <w:rPr>
                              <w:spacing w:val="-65"/>
                              <w:w w:val="95"/>
                              <w:position w:val="-2"/>
                              <w:sz w:val="19"/>
                            </w:rPr>
                            <w:t>1</w:t>
                          </w:r>
                          <w:r>
                            <w:rPr>
                              <w:color w:val="1A365D"/>
                              <w:spacing w:val="-54"/>
                              <w:w w:val="101"/>
                              <w:sz w:val="17"/>
                            </w:rPr>
                            <w:t xml:space="preserve"> G</w:t>
                          </w:r>
                          <w:r>
                            <w:rPr>
                              <w:spacing w:val="-28"/>
                              <w:w w:val="95"/>
                              <w:position w:val="-2"/>
                              <w:sz w:val="19"/>
                            </w:rPr>
                            <w:t>9</w:t>
                          </w:r>
                          <w:r>
                            <w:rPr>
                              <w:color w:val="1A365D"/>
                              <w:spacing w:val="-4"/>
                              <w:sz w:val="17"/>
                            </w:rPr>
                            <w:t xml:space="preserve"> l</w:t>
                          </w:r>
                          <w:r>
                            <w:rPr>
                              <w:spacing w:val="-75"/>
                              <w:w w:val="95"/>
                              <w:position w:val="-2"/>
                              <w:sz w:val="19"/>
                            </w:rPr>
                            <w:t>1</w:t>
                          </w:r>
                          <w:r>
                            <w:rPr>
                              <w:color w:val="1A365D"/>
                              <w:spacing w:val="-2"/>
                              <w:w w:val="105"/>
                              <w:sz w:val="17"/>
                            </w:rPr>
                            <w:t xml:space="preserve"> o</w:t>
                          </w:r>
                          <w:r>
                            <w:rPr>
                              <w:spacing w:val="-80"/>
                              <w:w w:val="95"/>
                              <w:position w:val="-2"/>
                              <w:sz w:val="19"/>
                            </w:rPr>
                            <w:t>7</w:t>
                          </w:r>
                          <w:r>
                            <w:rPr>
                              <w:color w:val="1A365D"/>
                              <w:spacing w:val="-1"/>
                              <w:w w:val="106"/>
                              <w:sz w:val="17"/>
                            </w:rPr>
                            <w:t xml:space="preserve"> b</w:t>
                          </w:r>
                          <w:r>
                            <w:rPr>
                              <w:spacing w:val="-80"/>
                              <w:w w:val="95"/>
                              <w:position w:val="-2"/>
                              <w:sz w:val="19"/>
                            </w:rPr>
                            <w:t>0</w:t>
                          </w:r>
                          <w:r>
                            <w:rPr>
                              <w:color w:val="1A365D"/>
                              <w:spacing w:val="-41"/>
                              <w:sz w:val="17"/>
                            </w:rPr>
                            <w:t xml:space="preserve"> al</w:t>
                          </w:r>
                          <w:r>
                            <w:rPr>
                              <w:spacing w:val="10"/>
                              <w:w w:val="95"/>
                              <w:position w:val="-2"/>
                              <w:sz w:val="19"/>
                            </w:rPr>
                            <w:t>.</w:t>
                          </w:r>
                          <w:r>
                            <w:rPr>
                              <w:spacing w:val="-42"/>
                              <w:w w:val="95"/>
                              <w:position w:val="-2"/>
                              <w:sz w:val="19"/>
                            </w:rPr>
                            <w:t>2</w:t>
                          </w:r>
                          <w:r>
                            <w:rPr>
                              <w:color w:val="1A365D"/>
                              <w:spacing w:val="-26"/>
                              <w:sz w:val="17"/>
                            </w:rPr>
                            <w:t xml:space="preserve"> Fondo </w:t>
                          </w:r>
                          <w:r>
                            <w:rPr>
                              <w:color w:val="1A365D"/>
                              <w:spacing w:val="-26"/>
                              <w:sz w:val="17"/>
                            </w:rPr>
                            <w:t xml:space="preserve">obbligazionario </w:t>
                          </w:r>
                          <w:r>
                            <w:rPr>
                              <w:color w:val="1A365D"/>
                              <w:spacing w:val="-26"/>
                              <w:sz w:val="17"/>
                            </w:rPr>
                            <w:t>ad</w:t>
                          </w:r>
                          <w:r>
                            <w:rPr>
                              <w:color w:val="1A365D"/>
                              <w:spacing w:val="10"/>
                              <w:w w:val="112"/>
                              <w:sz w:val="17"/>
                            </w:rPr>
                            <w:t xml:space="preserve"> alto </w:t>
                          </w:r>
                          <w:r>
                            <w:rPr>
                              <w:color w:val="1A365D"/>
                              <w:spacing w:val="-26"/>
                              <w:sz w:val="17"/>
                            </w:rPr>
                            <w:t>rendimento</w:t>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_x0000_s2052" type="#_x0000_t202" style="width:205.05pt;height:13.95pt;margin-top:797.93pt;margin-left:-0.28pt;mso-position-horizontal-relative:page;mso-position-vertical-relative:page;position:absolute;z-index:-251657216" filled="f" stroked="f">
              <v:textbox inset="0,0,0,0">
                <w:txbxContent>
                  <w:p>
                    <w:pPr>
                      <w:spacing w:before="18"/>
                      <w:ind w:left="20" w:right="0" w:firstLine="0"/>
                      <w:jc w:val="left"/>
                      <w:rPr>
                        <w:sz w:val="18"/>
                      </w:rPr>
                    </w:pPr>
                    <w:r>
                      <w:rPr>
                        <w:spacing w:val="9"/>
                        <w:w w:val="95"/>
                        <w:position w:val="-2"/>
                        <w:sz w:val="20"/>
                      </w:rPr>
                      <w:t>N</w:t>
                    </w:r>
                    <w:r>
                      <w:rPr>
                        <w:spacing w:val="11"/>
                        <w:w w:val="95"/>
                        <w:position w:val="-2"/>
                        <w:sz w:val="20"/>
                      </w:rPr>
                      <w:t>A</w:t>
                    </w:r>
                    <w:r>
                      <w:rPr>
                        <w:spacing w:val="10"/>
                        <w:w w:val="95"/>
                        <w:position w:val="-2"/>
                        <w:sz w:val="20"/>
                      </w:rPr>
                      <w:t>_</w:t>
                    </w:r>
                    <w:r>
                      <w:rPr>
                        <w:spacing w:val="9"/>
                        <w:w w:val="95"/>
                        <w:position w:val="-2"/>
                        <w:sz w:val="20"/>
                      </w:rPr>
                      <w:t>D</w:t>
                    </w:r>
                    <w:r>
                      <w:rPr>
                        <w:spacing w:val="11"/>
                        <w:w w:val="95"/>
                        <w:position w:val="-2"/>
                        <w:sz w:val="20"/>
                      </w:rPr>
                      <w:t>E</w:t>
                    </w:r>
                    <w:r>
                      <w:rPr>
                        <w:spacing w:val="-30"/>
                        <w:w w:val="95"/>
                        <w:position w:val="-2"/>
                        <w:sz w:val="20"/>
                      </w:rPr>
                      <w:t>C</w:t>
                    </w:r>
                    <w:r>
                      <w:rPr>
                        <w:color w:val="1A365D"/>
                        <w:spacing w:val="-133"/>
                        <w:w w:val="101"/>
                        <w:sz w:val="18"/>
                      </w:rPr>
                      <w:t xml:space="preserve"> W</w:t>
                    </w:r>
                    <w:r>
                      <w:rPr>
                        <w:spacing w:val="8"/>
                        <w:w w:val="95"/>
                        <w:position w:val="-2"/>
                        <w:sz w:val="20"/>
                      </w:rPr>
                      <w:t>H</w:t>
                    </w:r>
                    <w:r>
                      <w:rPr>
                        <w:color w:val="1A365D"/>
                        <w:spacing w:val="-75"/>
                        <w:w w:val="103"/>
                        <w:sz w:val="18"/>
                      </w:rPr>
                      <w:t xml:space="preserve"> e</w:t>
                    </w:r>
                    <w:r>
                      <w:rPr>
                        <w:spacing w:val="-27"/>
                        <w:w w:val="95"/>
                        <w:position w:val="-2"/>
                        <w:sz w:val="20"/>
                      </w:rPr>
                      <w:t>E</w:t>
                    </w:r>
                    <w:r>
                      <w:rPr>
                        <w:color w:val="1A365D"/>
                        <w:spacing w:val="-4"/>
                        <w:sz w:val="18"/>
                      </w:rPr>
                      <w:t xml:space="preserve"> l</w:t>
                    </w:r>
                    <w:r>
                      <w:rPr>
                        <w:spacing w:val="-110"/>
                        <w:w w:val="95"/>
                        <w:position w:val="-2"/>
                        <w:sz w:val="20"/>
                      </w:rPr>
                      <w:t>R</w:t>
                    </w:r>
                    <w:r>
                      <w:rPr>
                        <w:color w:val="1A365D"/>
                        <w:spacing w:val="-84"/>
                        <w:w w:val="112"/>
                        <w:sz w:val="18"/>
                      </w:rPr>
                      <w:t xml:space="preserve"> lin</w:t>
                    </w:r>
                    <w:r>
                      <w:rPr>
                        <w:spacing w:val="-18"/>
                        <w:w w:val="95"/>
                        <w:position w:val="-2"/>
                        <w:sz w:val="20"/>
                      </w:rPr>
                      <w:t>T</w:t>
                    </w:r>
                    <w:r>
                      <w:rPr>
                        <w:color w:val="1A365D"/>
                        <w:spacing w:val="-62"/>
                        <w:w w:val="107"/>
                        <w:sz w:val="18"/>
                      </w:rPr>
                      <w:t xml:space="preserve"> g</w:t>
                    </w:r>
                    <w:r>
                      <w:rPr>
                        <w:spacing w:val="10"/>
                        <w:w w:val="95"/>
                        <w:position w:val="-2"/>
                        <w:sz w:val="20"/>
                      </w:rPr>
                      <w:t>.</w:t>
                    </w:r>
                    <w:r>
                      <w:rPr>
                        <w:spacing w:val="-68"/>
                        <w:w w:val="95"/>
                        <w:position w:val="-2"/>
                        <w:sz w:val="20"/>
                      </w:rPr>
                      <w:t>9</w:t>
                    </w:r>
                    <w:r>
                      <w:rPr>
                        <w:color w:val="1A365D"/>
                        <w:spacing w:val="-67"/>
                        <w:w w:val="105"/>
                        <w:sz w:val="18"/>
                      </w:rPr>
                      <w:t xml:space="preserve"> to</w:t>
                    </w:r>
                    <w:r>
                      <w:rPr>
                        <w:spacing w:val="-15"/>
                        <w:w w:val="95"/>
                        <w:position w:val="-2"/>
                        <w:sz w:val="20"/>
                      </w:rPr>
                      <w:t>5</w:t>
                    </w:r>
                    <w:r>
                      <w:rPr>
                        <w:color w:val="1A365D"/>
                        <w:spacing w:val="-71"/>
                        <w:w w:val="112"/>
                        <w:sz w:val="18"/>
                      </w:rPr>
                      <w:t xml:space="preserve"> n</w:t>
                    </w:r>
                    <w:r>
                      <w:rPr>
                        <w:spacing w:val="12"/>
                        <w:w w:val="95"/>
                        <w:position w:val="-2"/>
                        <w:sz w:val="20"/>
                      </w:rPr>
                      <w:t>6</w:t>
                    </w:r>
                    <w:r>
                      <w:rPr>
                        <w:spacing w:val="-65"/>
                        <w:w w:val="95"/>
                        <w:position w:val="-2"/>
                        <w:sz w:val="20"/>
                      </w:rPr>
                      <w:t>1</w:t>
                    </w:r>
                    <w:r>
                      <w:rPr>
                        <w:color w:val="1A365D"/>
                        <w:spacing w:val="-54"/>
                        <w:w w:val="101"/>
                        <w:sz w:val="18"/>
                      </w:rPr>
                      <w:t xml:space="preserve"> G</w:t>
                    </w:r>
                    <w:r>
                      <w:rPr>
                        <w:spacing w:val="-28"/>
                        <w:w w:val="95"/>
                        <w:position w:val="-2"/>
                        <w:sz w:val="20"/>
                      </w:rPr>
                      <w:t>9</w:t>
                    </w:r>
                    <w:r>
                      <w:rPr>
                        <w:color w:val="1A365D"/>
                        <w:spacing w:val="-4"/>
                        <w:sz w:val="18"/>
                      </w:rPr>
                      <w:t xml:space="preserve"> l</w:t>
                    </w:r>
                    <w:r>
                      <w:rPr>
                        <w:spacing w:val="-75"/>
                        <w:w w:val="95"/>
                        <w:position w:val="-2"/>
                        <w:sz w:val="20"/>
                      </w:rPr>
                      <w:t>1</w:t>
                    </w:r>
                    <w:r>
                      <w:rPr>
                        <w:color w:val="1A365D"/>
                        <w:spacing w:val="-2"/>
                        <w:w w:val="105"/>
                        <w:sz w:val="18"/>
                      </w:rPr>
                      <w:t xml:space="preserve"> o</w:t>
                    </w:r>
                    <w:r>
                      <w:rPr>
                        <w:spacing w:val="-80"/>
                        <w:w w:val="95"/>
                        <w:position w:val="-2"/>
                        <w:sz w:val="20"/>
                      </w:rPr>
                      <w:t>7</w:t>
                    </w:r>
                    <w:r>
                      <w:rPr>
                        <w:color w:val="1A365D"/>
                        <w:spacing w:val="-1"/>
                        <w:w w:val="106"/>
                        <w:sz w:val="18"/>
                      </w:rPr>
                      <w:t xml:space="preserve"> b</w:t>
                    </w:r>
                    <w:r>
                      <w:rPr>
                        <w:spacing w:val="-80"/>
                        <w:w w:val="95"/>
                        <w:position w:val="-2"/>
                        <w:sz w:val="20"/>
                      </w:rPr>
                      <w:t>0</w:t>
                    </w:r>
                    <w:r>
                      <w:rPr>
                        <w:color w:val="1A365D"/>
                        <w:spacing w:val="-41"/>
                        <w:sz w:val="18"/>
                      </w:rPr>
                      <w:t xml:space="preserve"> al</w:t>
                    </w:r>
                    <w:r>
                      <w:rPr>
                        <w:spacing w:val="10"/>
                        <w:w w:val="95"/>
                        <w:position w:val="-2"/>
                        <w:sz w:val="20"/>
                      </w:rPr>
                      <w:t>.</w:t>
                    </w:r>
                    <w:r>
                      <w:rPr>
                        <w:spacing w:val="-42"/>
                        <w:w w:val="95"/>
                        <w:position w:val="-2"/>
                        <w:sz w:val="20"/>
                      </w:rPr>
                      <w:t>2</w:t>
                    </w:r>
                    <w:r>
                      <w:rPr>
                        <w:color w:val="1A365D"/>
                        <w:spacing w:val="-26"/>
                        <w:sz w:val="18"/>
                      </w:rPr>
                      <w:t xml:space="preserve"> Fondo </w:t>
                    </w:r>
                    <w:r>
                      <w:rPr>
                        <w:color w:val="1A365D"/>
                        <w:spacing w:val="-26"/>
                        <w:sz w:val="18"/>
                      </w:rPr>
                      <w:t xml:space="preserve">obbligazionario </w:t>
                    </w:r>
                    <w:r>
                      <w:rPr>
                        <w:color w:val="1A365D"/>
                        <w:spacing w:val="-26"/>
                        <w:sz w:val="18"/>
                      </w:rPr>
                      <w:t>ad</w:t>
                    </w:r>
                    <w:r>
                      <w:rPr>
                        <w:color w:val="1A365D"/>
                        <w:spacing w:val="10"/>
                        <w:w w:val="112"/>
                        <w:sz w:val="18"/>
                      </w:rPr>
                      <w:t xml:space="preserve"> alto </w:t>
                    </w:r>
                    <w:r>
                      <w:rPr>
                        <w:color w:val="1A365D"/>
                        <w:spacing w:val="-26"/>
                        <w:sz w:val="18"/>
                      </w:rPr>
                      <w:t>rendimento</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0"/>
      </w:rPr>
    </w:pPr>
    <w:r>
      <w:rPr>
        <w:sz w:val="20"/>
      </w:rPr>
      <mc:AlternateContent>
        <mc:Choice Requires="wps">
          <w:drawing>
            <wp:anchor distT="0" distB="0" distL="0" distR="0" simplePos="0" relativeHeight="251660288" behindDoc="1" locked="0" layoutInCell="1" allowOverlap="1">
              <wp:simplePos x="0" y="0"/>
              <wp:positionH relativeFrom="page">
                <wp:posOffset>-3559</wp:posOffset>
              </wp:positionH>
              <wp:positionV relativeFrom="page">
                <wp:posOffset>10115760</wp:posOffset>
              </wp:positionV>
              <wp:extent cx="2604135" cy="181610"/>
              <wp:effectExtent l="0" t="0" r="0" b="0"/>
              <wp:wrapNone/>
              <wp:docPr id="32" name="Textbox 32"/>
              <wp:cNvGraphicFramePr/>
              <a:graphic xmlns:a="http://schemas.openxmlformats.org/drawingml/2006/main">
                <a:graphicData uri="http://schemas.microsoft.com/office/word/2010/wordprocessingShape">
                  <wps:wsp xmlns:wps="http://schemas.microsoft.com/office/word/2010/wordprocessingShape">
                    <wps:cNvSpPr txBox="1"/>
                    <wps:spPr>
                      <a:xfrm>
                        <a:off x="0" y="0"/>
                        <a:ext cx="2604135" cy="181610"/>
                      </a:xfrm>
                      <a:prstGeom prst="rect">
                        <a:avLst/>
                      </a:prstGeom>
                    </wps:spPr>
                    <wps:txbx>
                      <w:txbxContent>
                        <w:p>
                          <w:pPr>
                            <w:spacing w:before="7"/>
                            <w:ind w:left="20" w:right="0" w:firstLine="0"/>
                            <w:jc w:val="left"/>
                            <w:rPr>
                              <w:sz w:val="18"/>
                            </w:rPr>
                          </w:pPr>
                          <w:r>
                            <w:rPr>
                              <w:color w:val="1A365D"/>
                              <w:spacing w:val="-62"/>
                              <w:w w:val="107"/>
                              <w:sz w:val="17"/>
                            </w:rPr>
                            <w:t>NA_DECWHeElRlinTg</w:t>
                          </w:r>
                          <w:r>
                            <w:rPr>
                              <w:spacing w:val="10"/>
                              <w:w w:val="95"/>
                              <w:position w:val="2"/>
                              <w:sz w:val="19"/>
                            </w:rPr>
                            <w:t>.</w:t>
                          </w:r>
                          <w:r>
                            <w:rPr>
                              <w:color w:val="1A365D"/>
                              <w:spacing w:val="-41"/>
                              <w:sz w:val="17"/>
                            </w:rPr>
                            <w:t>9to5n61G9l1o7b0al</w:t>
                          </w:r>
                          <w:r>
                            <w:rPr>
                              <w:spacing w:val="10"/>
                              <w:w w:val="95"/>
                              <w:position w:val="2"/>
                              <w:sz w:val="19"/>
                            </w:rPr>
                            <w:t>.</w:t>
                          </w:r>
                          <w:r>
                            <w:rPr>
                              <w:spacing w:val="-42"/>
                              <w:w w:val="95"/>
                              <w:position w:val="2"/>
                              <w:sz w:val="19"/>
                            </w:rPr>
                            <w:t xml:space="preserve">2 </w:t>
                          </w:r>
                          <w:r>
                            <w:rPr>
                              <w:color w:val="1A365D"/>
                              <w:spacing w:val="-26"/>
                              <w:sz w:val="17"/>
                            </w:rPr>
                            <w:t xml:space="preserve">Fondo </w:t>
                          </w:r>
                          <w:r>
                            <w:rPr>
                              <w:color w:val="1A365D"/>
                              <w:spacing w:val="-26"/>
                              <w:sz w:val="17"/>
                            </w:rPr>
                            <w:t xml:space="preserve">obbligazionario </w:t>
                          </w:r>
                          <w:r>
                            <w:rPr>
                              <w:color w:val="1A365D"/>
                              <w:spacing w:val="-26"/>
                              <w:sz w:val="17"/>
                            </w:rPr>
                            <w:t>ad</w:t>
                          </w:r>
                          <w:r>
                            <w:rPr>
                              <w:color w:val="1A365D"/>
                              <w:spacing w:val="10"/>
                              <w:w w:val="112"/>
                              <w:sz w:val="17"/>
                            </w:rPr>
                            <w:t xml:space="preserve"> alto </w:t>
                          </w:r>
                          <w:r>
                            <w:rPr>
                              <w:color w:val="1A365D"/>
                              <w:spacing w:val="-26"/>
                              <w:sz w:val="17"/>
                            </w:rPr>
                            <w:t>rendimento</w:t>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_x0000_s2053" type="#_x0000_t202" style="width:205.05pt;height:14.3pt;margin-top:796.52pt;margin-left:-0.28pt;mso-position-horizontal-relative:page;mso-position-vertical-relative:page;position:absolute;z-index:-251655168" filled="f" stroked="f">
              <v:textbox inset="0,0,0,0">
                <w:txbxContent>
                  <w:p>
                    <w:pPr>
                      <w:spacing w:before="7"/>
                      <w:ind w:left="20" w:right="0" w:firstLine="0"/>
                      <w:jc w:val="left"/>
                      <w:rPr>
                        <w:sz w:val="18"/>
                      </w:rPr>
                    </w:pPr>
                    <w:r>
                      <w:rPr>
                        <w:color w:val="1A365D"/>
                        <w:spacing w:val="-62"/>
                        <w:w w:val="107"/>
                        <w:sz w:val="18"/>
                      </w:rPr>
                      <w:t>NA_DECWHeElRlinTg</w:t>
                    </w:r>
                    <w:r>
                      <w:rPr>
                        <w:spacing w:val="10"/>
                        <w:w w:val="95"/>
                        <w:position w:val="2"/>
                        <w:sz w:val="20"/>
                      </w:rPr>
                      <w:t>.</w:t>
                    </w:r>
                    <w:r>
                      <w:rPr>
                        <w:color w:val="1A365D"/>
                        <w:spacing w:val="-41"/>
                        <w:sz w:val="18"/>
                      </w:rPr>
                      <w:t>9to5n61G9l1o7b0al</w:t>
                    </w:r>
                    <w:r>
                      <w:rPr>
                        <w:spacing w:val="10"/>
                        <w:w w:val="95"/>
                        <w:position w:val="2"/>
                        <w:sz w:val="20"/>
                      </w:rPr>
                      <w:t>.</w:t>
                    </w:r>
                    <w:r>
                      <w:rPr>
                        <w:spacing w:val="-42"/>
                        <w:w w:val="95"/>
                        <w:position w:val="2"/>
                        <w:sz w:val="20"/>
                      </w:rPr>
                      <w:t xml:space="preserve">2 </w:t>
                    </w:r>
                    <w:r>
                      <w:rPr>
                        <w:color w:val="1A365D"/>
                        <w:spacing w:val="-26"/>
                        <w:sz w:val="18"/>
                      </w:rPr>
                      <w:t xml:space="preserve">Fondo </w:t>
                    </w:r>
                    <w:r>
                      <w:rPr>
                        <w:color w:val="1A365D"/>
                        <w:spacing w:val="-26"/>
                        <w:sz w:val="18"/>
                      </w:rPr>
                      <w:t xml:space="preserve">obbligazionario </w:t>
                    </w:r>
                    <w:r>
                      <w:rPr>
                        <w:color w:val="1A365D"/>
                        <w:spacing w:val="-26"/>
                        <w:sz w:val="18"/>
                      </w:rPr>
                      <w:t>ad</w:t>
                    </w:r>
                    <w:r>
                      <w:rPr>
                        <w:color w:val="1A365D"/>
                        <w:spacing w:val="10"/>
                        <w:w w:val="112"/>
                        <w:sz w:val="18"/>
                      </w:rPr>
                      <w:t xml:space="preserve"> alto </w:t>
                    </w:r>
                    <w:r>
                      <w:rPr>
                        <w:color w:val="1A365D"/>
                        <w:spacing w:val="-26"/>
                        <w:sz w:val="18"/>
                      </w:rPr>
                      <w:t>rendimento</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0"/>
      </w:rPr>
    </w:pPr>
    <w:r>
      <w:rPr>
        <w:sz w:val="20"/>
      </w:rPr>
      <mc:AlternateContent>
        <mc:Choice Requires="wps">
          <w:drawing>
            <wp:anchor distT="0" distB="0" distL="0" distR="0" simplePos="0" relativeHeight="251662336" behindDoc="1" locked="0" layoutInCell="1" allowOverlap="1">
              <wp:simplePos x="0" y="0"/>
              <wp:positionH relativeFrom="page">
                <wp:posOffset>-3559</wp:posOffset>
              </wp:positionH>
              <wp:positionV relativeFrom="page">
                <wp:posOffset>10133679</wp:posOffset>
              </wp:positionV>
              <wp:extent cx="2604135" cy="177165"/>
              <wp:effectExtent l="0" t="0" r="0" b="0"/>
              <wp:wrapNone/>
              <wp:docPr id="36" name="Textbox 36"/>
              <wp:cNvGraphicFramePr/>
              <a:graphic xmlns:a="http://schemas.openxmlformats.org/drawingml/2006/main">
                <a:graphicData uri="http://schemas.microsoft.com/office/word/2010/wordprocessingShape">
                  <wps:wsp xmlns:wps="http://schemas.microsoft.com/office/word/2010/wordprocessingShape">
                    <wps:cNvSpPr txBox="1"/>
                    <wps:spPr>
                      <a:xfrm>
                        <a:off x="0" y="0"/>
                        <a:ext cx="2604135" cy="177165"/>
                      </a:xfrm>
                      <a:prstGeom prst="rect">
                        <a:avLst/>
                      </a:prstGeom>
                    </wps:spPr>
                    <wps:txbx>
                      <w:txbxContent>
                        <w:p>
                          <w:pPr>
                            <w:spacing w:before="18"/>
                            <w:ind w:left="20" w:right="0" w:firstLine="0"/>
                            <w:jc w:val="left"/>
                            <w:rPr>
                              <w:sz w:val="18"/>
                            </w:rPr>
                          </w:pPr>
                          <w:r>
                            <w:rPr>
                              <w:spacing w:val="9"/>
                              <w:w w:val="95"/>
                              <w:position w:val="-2"/>
                              <w:sz w:val="19"/>
                            </w:rPr>
                            <w:t>N</w:t>
                          </w:r>
                          <w:r>
                            <w:rPr>
                              <w:spacing w:val="11"/>
                              <w:w w:val="95"/>
                              <w:position w:val="-2"/>
                              <w:sz w:val="19"/>
                            </w:rPr>
                            <w:t>A</w:t>
                          </w:r>
                          <w:r>
                            <w:rPr>
                              <w:spacing w:val="10"/>
                              <w:w w:val="95"/>
                              <w:position w:val="-2"/>
                              <w:sz w:val="19"/>
                            </w:rPr>
                            <w:t>_</w:t>
                          </w:r>
                          <w:r>
                            <w:rPr>
                              <w:spacing w:val="9"/>
                              <w:w w:val="95"/>
                              <w:position w:val="-2"/>
                              <w:sz w:val="19"/>
                            </w:rPr>
                            <w:t>D</w:t>
                          </w:r>
                          <w:r>
                            <w:rPr>
                              <w:spacing w:val="11"/>
                              <w:w w:val="95"/>
                              <w:position w:val="-2"/>
                              <w:sz w:val="19"/>
                            </w:rPr>
                            <w:t>E</w:t>
                          </w:r>
                          <w:r>
                            <w:rPr>
                              <w:spacing w:val="-30"/>
                              <w:w w:val="95"/>
                              <w:position w:val="-2"/>
                              <w:sz w:val="19"/>
                            </w:rPr>
                            <w:t>C</w:t>
                          </w:r>
                          <w:r>
                            <w:rPr>
                              <w:color w:val="1A365D"/>
                              <w:spacing w:val="-133"/>
                              <w:w w:val="101"/>
                              <w:sz w:val="17"/>
                            </w:rPr>
                            <w:t xml:space="preserve"> W</w:t>
                          </w:r>
                          <w:r>
                            <w:rPr>
                              <w:spacing w:val="8"/>
                              <w:w w:val="95"/>
                              <w:position w:val="-2"/>
                              <w:sz w:val="19"/>
                            </w:rPr>
                            <w:t>H</w:t>
                          </w:r>
                          <w:r>
                            <w:rPr>
                              <w:color w:val="1A365D"/>
                              <w:spacing w:val="-75"/>
                              <w:w w:val="103"/>
                              <w:sz w:val="17"/>
                            </w:rPr>
                            <w:t xml:space="preserve"> e</w:t>
                          </w:r>
                          <w:r>
                            <w:rPr>
                              <w:spacing w:val="-27"/>
                              <w:w w:val="95"/>
                              <w:position w:val="-2"/>
                              <w:sz w:val="19"/>
                            </w:rPr>
                            <w:t>E</w:t>
                          </w:r>
                          <w:r>
                            <w:rPr>
                              <w:color w:val="1A365D"/>
                              <w:spacing w:val="-4"/>
                              <w:sz w:val="17"/>
                            </w:rPr>
                            <w:t xml:space="preserve"> l</w:t>
                          </w:r>
                          <w:r>
                            <w:rPr>
                              <w:spacing w:val="-110"/>
                              <w:w w:val="95"/>
                              <w:position w:val="-2"/>
                              <w:sz w:val="19"/>
                            </w:rPr>
                            <w:t>R</w:t>
                          </w:r>
                          <w:r>
                            <w:rPr>
                              <w:color w:val="1A365D"/>
                              <w:spacing w:val="-84"/>
                              <w:w w:val="112"/>
                              <w:sz w:val="17"/>
                            </w:rPr>
                            <w:t xml:space="preserve"> lin</w:t>
                          </w:r>
                          <w:r>
                            <w:rPr>
                              <w:spacing w:val="-18"/>
                              <w:w w:val="95"/>
                              <w:position w:val="-2"/>
                              <w:sz w:val="19"/>
                            </w:rPr>
                            <w:t>T</w:t>
                          </w:r>
                          <w:r>
                            <w:rPr>
                              <w:color w:val="1A365D"/>
                              <w:spacing w:val="-62"/>
                              <w:w w:val="107"/>
                              <w:sz w:val="17"/>
                            </w:rPr>
                            <w:t xml:space="preserve"> g</w:t>
                          </w:r>
                          <w:r>
                            <w:rPr>
                              <w:spacing w:val="10"/>
                              <w:w w:val="95"/>
                              <w:position w:val="-2"/>
                              <w:sz w:val="19"/>
                            </w:rPr>
                            <w:t>.</w:t>
                          </w:r>
                          <w:r>
                            <w:rPr>
                              <w:spacing w:val="-68"/>
                              <w:w w:val="95"/>
                              <w:position w:val="-2"/>
                              <w:sz w:val="19"/>
                            </w:rPr>
                            <w:t>9</w:t>
                          </w:r>
                          <w:r>
                            <w:rPr>
                              <w:color w:val="1A365D"/>
                              <w:spacing w:val="-67"/>
                              <w:w w:val="105"/>
                              <w:sz w:val="17"/>
                            </w:rPr>
                            <w:t xml:space="preserve"> to</w:t>
                          </w:r>
                          <w:r>
                            <w:rPr>
                              <w:spacing w:val="-15"/>
                              <w:w w:val="95"/>
                              <w:position w:val="-2"/>
                              <w:sz w:val="19"/>
                            </w:rPr>
                            <w:t>5</w:t>
                          </w:r>
                          <w:r>
                            <w:rPr>
                              <w:color w:val="1A365D"/>
                              <w:spacing w:val="-71"/>
                              <w:w w:val="112"/>
                              <w:sz w:val="17"/>
                            </w:rPr>
                            <w:t xml:space="preserve"> n</w:t>
                          </w:r>
                          <w:r>
                            <w:rPr>
                              <w:spacing w:val="12"/>
                              <w:w w:val="95"/>
                              <w:position w:val="-2"/>
                              <w:sz w:val="19"/>
                            </w:rPr>
                            <w:t>6</w:t>
                          </w:r>
                          <w:r>
                            <w:rPr>
                              <w:spacing w:val="-65"/>
                              <w:w w:val="95"/>
                              <w:position w:val="-2"/>
                              <w:sz w:val="19"/>
                            </w:rPr>
                            <w:t>1</w:t>
                          </w:r>
                          <w:r>
                            <w:rPr>
                              <w:color w:val="1A365D"/>
                              <w:spacing w:val="-54"/>
                              <w:w w:val="101"/>
                              <w:sz w:val="17"/>
                            </w:rPr>
                            <w:t xml:space="preserve"> G</w:t>
                          </w:r>
                          <w:r>
                            <w:rPr>
                              <w:spacing w:val="-28"/>
                              <w:w w:val="95"/>
                              <w:position w:val="-2"/>
                              <w:sz w:val="19"/>
                            </w:rPr>
                            <w:t>9</w:t>
                          </w:r>
                          <w:r>
                            <w:rPr>
                              <w:color w:val="1A365D"/>
                              <w:spacing w:val="-4"/>
                              <w:sz w:val="17"/>
                            </w:rPr>
                            <w:t xml:space="preserve"> l</w:t>
                          </w:r>
                          <w:r>
                            <w:rPr>
                              <w:spacing w:val="-75"/>
                              <w:w w:val="95"/>
                              <w:position w:val="-2"/>
                              <w:sz w:val="19"/>
                            </w:rPr>
                            <w:t>1</w:t>
                          </w:r>
                          <w:r>
                            <w:rPr>
                              <w:color w:val="1A365D"/>
                              <w:spacing w:val="-2"/>
                              <w:w w:val="105"/>
                              <w:sz w:val="17"/>
                            </w:rPr>
                            <w:t xml:space="preserve"> o</w:t>
                          </w:r>
                          <w:r>
                            <w:rPr>
                              <w:spacing w:val="-80"/>
                              <w:w w:val="95"/>
                              <w:position w:val="-2"/>
                              <w:sz w:val="19"/>
                            </w:rPr>
                            <w:t>7</w:t>
                          </w:r>
                          <w:r>
                            <w:rPr>
                              <w:color w:val="1A365D"/>
                              <w:spacing w:val="-1"/>
                              <w:w w:val="106"/>
                              <w:sz w:val="17"/>
                            </w:rPr>
                            <w:t xml:space="preserve"> b</w:t>
                          </w:r>
                          <w:r>
                            <w:rPr>
                              <w:spacing w:val="-80"/>
                              <w:w w:val="95"/>
                              <w:position w:val="-2"/>
                              <w:sz w:val="19"/>
                            </w:rPr>
                            <w:t>0</w:t>
                          </w:r>
                          <w:r>
                            <w:rPr>
                              <w:color w:val="1A365D"/>
                              <w:spacing w:val="-41"/>
                              <w:sz w:val="17"/>
                            </w:rPr>
                            <w:t xml:space="preserve"> al</w:t>
                          </w:r>
                          <w:r>
                            <w:rPr>
                              <w:spacing w:val="10"/>
                              <w:w w:val="95"/>
                              <w:position w:val="-2"/>
                              <w:sz w:val="19"/>
                            </w:rPr>
                            <w:t>.</w:t>
                          </w:r>
                          <w:r>
                            <w:rPr>
                              <w:spacing w:val="-42"/>
                              <w:w w:val="95"/>
                              <w:position w:val="-2"/>
                              <w:sz w:val="19"/>
                            </w:rPr>
                            <w:t>2</w:t>
                          </w:r>
                          <w:r>
                            <w:rPr>
                              <w:color w:val="1A365D"/>
                              <w:spacing w:val="-26"/>
                              <w:sz w:val="17"/>
                            </w:rPr>
                            <w:t xml:space="preserve"> Fondo </w:t>
                          </w:r>
                          <w:r>
                            <w:rPr>
                              <w:color w:val="1A365D"/>
                              <w:spacing w:val="-26"/>
                              <w:sz w:val="17"/>
                            </w:rPr>
                            <w:t xml:space="preserve">obbligazionario </w:t>
                          </w:r>
                          <w:r>
                            <w:rPr>
                              <w:color w:val="1A365D"/>
                              <w:spacing w:val="-26"/>
                              <w:sz w:val="17"/>
                            </w:rPr>
                            <w:t>ad</w:t>
                          </w:r>
                          <w:r>
                            <w:rPr>
                              <w:color w:val="1A365D"/>
                              <w:spacing w:val="10"/>
                              <w:w w:val="112"/>
                              <w:sz w:val="17"/>
                            </w:rPr>
                            <w:t xml:space="preserve"> alto </w:t>
                          </w:r>
                          <w:r>
                            <w:rPr>
                              <w:color w:val="1A365D"/>
                              <w:spacing w:val="-26"/>
                              <w:sz w:val="17"/>
                            </w:rPr>
                            <w:t>rendimento</w:t>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_x0000_s2057" type="#_x0000_t202" style="width:205.05pt;height:13.95pt;margin-top:797.93pt;margin-left:-0.28pt;mso-position-horizontal-relative:page;mso-position-vertical-relative:page;position:absolute;z-index:-251653120" filled="f" stroked="f">
              <v:textbox inset="0,0,0,0">
                <w:txbxContent>
                  <w:p>
                    <w:pPr>
                      <w:spacing w:before="18"/>
                      <w:ind w:left="20" w:right="0" w:firstLine="0"/>
                      <w:jc w:val="left"/>
                      <w:rPr>
                        <w:sz w:val="18"/>
                      </w:rPr>
                    </w:pPr>
                    <w:r>
                      <w:rPr>
                        <w:spacing w:val="9"/>
                        <w:w w:val="95"/>
                        <w:position w:val="-2"/>
                        <w:sz w:val="20"/>
                      </w:rPr>
                      <w:t>N</w:t>
                    </w:r>
                    <w:r>
                      <w:rPr>
                        <w:spacing w:val="11"/>
                        <w:w w:val="95"/>
                        <w:position w:val="-2"/>
                        <w:sz w:val="20"/>
                      </w:rPr>
                      <w:t>A</w:t>
                    </w:r>
                    <w:r>
                      <w:rPr>
                        <w:spacing w:val="10"/>
                        <w:w w:val="95"/>
                        <w:position w:val="-2"/>
                        <w:sz w:val="20"/>
                      </w:rPr>
                      <w:t>_</w:t>
                    </w:r>
                    <w:r>
                      <w:rPr>
                        <w:spacing w:val="9"/>
                        <w:w w:val="95"/>
                        <w:position w:val="-2"/>
                        <w:sz w:val="20"/>
                      </w:rPr>
                      <w:t>D</w:t>
                    </w:r>
                    <w:r>
                      <w:rPr>
                        <w:spacing w:val="11"/>
                        <w:w w:val="95"/>
                        <w:position w:val="-2"/>
                        <w:sz w:val="20"/>
                      </w:rPr>
                      <w:t>E</w:t>
                    </w:r>
                    <w:r>
                      <w:rPr>
                        <w:spacing w:val="-30"/>
                        <w:w w:val="95"/>
                        <w:position w:val="-2"/>
                        <w:sz w:val="20"/>
                      </w:rPr>
                      <w:t>C</w:t>
                    </w:r>
                    <w:r>
                      <w:rPr>
                        <w:color w:val="1A365D"/>
                        <w:spacing w:val="-133"/>
                        <w:w w:val="101"/>
                        <w:sz w:val="18"/>
                      </w:rPr>
                      <w:t xml:space="preserve"> W</w:t>
                    </w:r>
                    <w:r>
                      <w:rPr>
                        <w:spacing w:val="8"/>
                        <w:w w:val="95"/>
                        <w:position w:val="-2"/>
                        <w:sz w:val="20"/>
                      </w:rPr>
                      <w:t>H</w:t>
                    </w:r>
                    <w:r>
                      <w:rPr>
                        <w:color w:val="1A365D"/>
                        <w:spacing w:val="-75"/>
                        <w:w w:val="103"/>
                        <w:sz w:val="18"/>
                      </w:rPr>
                      <w:t xml:space="preserve"> e</w:t>
                    </w:r>
                    <w:r>
                      <w:rPr>
                        <w:spacing w:val="-27"/>
                        <w:w w:val="95"/>
                        <w:position w:val="-2"/>
                        <w:sz w:val="20"/>
                      </w:rPr>
                      <w:t>E</w:t>
                    </w:r>
                    <w:r>
                      <w:rPr>
                        <w:color w:val="1A365D"/>
                        <w:spacing w:val="-4"/>
                        <w:sz w:val="18"/>
                      </w:rPr>
                      <w:t xml:space="preserve"> l</w:t>
                    </w:r>
                    <w:r>
                      <w:rPr>
                        <w:spacing w:val="-110"/>
                        <w:w w:val="95"/>
                        <w:position w:val="-2"/>
                        <w:sz w:val="20"/>
                      </w:rPr>
                      <w:t>R</w:t>
                    </w:r>
                    <w:r>
                      <w:rPr>
                        <w:color w:val="1A365D"/>
                        <w:spacing w:val="-84"/>
                        <w:w w:val="112"/>
                        <w:sz w:val="18"/>
                      </w:rPr>
                      <w:t xml:space="preserve"> lin</w:t>
                    </w:r>
                    <w:r>
                      <w:rPr>
                        <w:spacing w:val="-18"/>
                        <w:w w:val="95"/>
                        <w:position w:val="-2"/>
                        <w:sz w:val="20"/>
                      </w:rPr>
                      <w:t>T</w:t>
                    </w:r>
                    <w:r>
                      <w:rPr>
                        <w:color w:val="1A365D"/>
                        <w:spacing w:val="-62"/>
                        <w:w w:val="107"/>
                        <w:sz w:val="18"/>
                      </w:rPr>
                      <w:t xml:space="preserve"> g</w:t>
                    </w:r>
                    <w:r>
                      <w:rPr>
                        <w:spacing w:val="10"/>
                        <w:w w:val="95"/>
                        <w:position w:val="-2"/>
                        <w:sz w:val="20"/>
                      </w:rPr>
                      <w:t>.</w:t>
                    </w:r>
                    <w:r>
                      <w:rPr>
                        <w:spacing w:val="-68"/>
                        <w:w w:val="95"/>
                        <w:position w:val="-2"/>
                        <w:sz w:val="20"/>
                      </w:rPr>
                      <w:t>9</w:t>
                    </w:r>
                    <w:r>
                      <w:rPr>
                        <w:color w:val="1A365D"/>
                        <w:spacing w:val="-67"/>
                        <w:w w:val="105"/>
                        <w:sz w:val="18"/>
                      </w:rPr>
                      <w:t xml:space="preserve"> to</w:t>
                    </w:r>
                    <w:r>
                      <w:rPr>
                        <w:spacing w:val="-15"/>
                        <w:w w:val="95"/>
                        <w:position w:val="-2"/>
                        <w:sz w:val="20"/>
                      </w:rPr>
                      <w:t>5</w:t>
                    </w:r>
                    <w:r>
                      <w:rPr>
                        <w:color w:val="1A365D"/>
                        <w:spacing w:val="-71"/>
                        <w:w w:val="112"/>
                        <w:sz w:val="18"/>
                      </w:rPr>
                      <w:t xml:space="preserve"> n</w:t>
                    </w:r>
                    <w:r>
                      <w:rPr>
                        <w:spacing w:val="12"/>
                        <w:w w:val="95"/>
                        <w:position w:val="-2"/>
                        <w:sz w:val="20"/>
                      </w:rPr>
                      <w:t>6</w:t>
                    </w:r>
                    <w:r>
                      <w:rPr>
                        <w:spacing w:val="-65"/>
                        <w:w w:val="95"/>
                        <w:position w:val="-2"/>
                        <w:sz w:val="20"/>
                      </w:rPr>
                      <w:t>1</w:t>
                    </w:r>
                    <w:r>
                      <w:rPr>
                        <w:color w:val="1A365D"/>
                        <w:spacing w:val="-54"/>
                        <w:w w:val="101"/>
                        <w:sz w:val="18"/>
                      </w:rPr>
                      <w:t xml:space="preserve"> G</w:t>
                    </w:r>
                    <w:r>
                      <w:rPr>
                        <w:spacing w:val="-28"/>
                        <w:w w:val="95"/>
                        <w:position w:val="-2"/>
                        <w:sz w:val="20"/>
                      </w:rPr>
                      <w:t>9</w:t>
                    </w:r>
                    <w:r>
                      <w:rPr>
                        <w:color w:val="1A365D"/>
                        <w:spacing w:val="-4"/>
                        <w:sz w:val="18"/>
                      </w:rPr>
                      <w:t xml:space="preserve"> l</w:t>
                    </w:r>
                    <w:r>
                      <w:rPr>
                        <w:spacing w:val="-75"/>
                        <w:w w:val="95"/>
                        <w:position w:val="-2"/>
                        <w:sz w:val="20"/>
                      </w:rPr>
                      <w:t>1</w:t>
                    </w:r>
                    <w:r>
                      <w:rPr>
                        <w:color w:val="1A365D"/>
                        <w:spacing w:val="-2"/>
                        <w:w w:val="105"/>
                        <w:sz w:val="18"/>
                      </w:rPr>
                      <w:t xml:space="preserve"> o</w:t>
                    </w:r>
                    <w:r>
                      <w:rPr>
                        <w:spacing w:val="-80"/>
                        <w:w w:val="95"/>
                        <w:position w:val="-2"/>
                        <w:sz w:val="20"/>
                      </w:rPr>
                      <w:t>7</w:t>
                    </w:r>
                    <w:r>
                      <w:rPr>
                        <w:color w:val="1A365D"/>
                        <w:spacing w:val="-1"/>
                        <w:w w:val="106"/>
                        <w:sz w:val="18"/>
                      </w:rPr>
                      <w:t xml:space="preserve"> b</w:t>
                    </w:r>
                    <w:r>
                      <w:rPr>
                        <w:spacing w:val="-80"/>
                        <w:w w:val="95"/>
                        <w:position w:val="-2"/>
                        <w:sz w:val="20"/>
                      </w:rPr>
                      <w:t>0</w:t>
                    </w:r>
                    <w:r>
                      <w:rPr>
                        <w:color w:val="1A365D"/>
                        <w:spacing w:val="-41"/>
                        <w:sz w:val="18"/>
                      </w:rPr>
                      <w:t xml:space="preserve"> al</w:t>
                    </w:r>
                    <w:r>
                      <w:rPr>
                        <w:spacing w:val="10"/>
                        <w:w w:val="95"/>
                        <w:position w:val="-2"/>
                        <w:sz w:val="20"/>
                      </w:rPr>
                      <w:t>.</w:t>
                    </w:r>
                    <w:r>
                      <w:rPr>
                        <w:spacing w:val="-42"/>
                        <w:w w:val="95"/>
                        <w:position w:val="-2"/>
                        <w:sz w:val="20"/>
                      </w:rPr>
                      <w:t>2</w:t>
                    </w:r>
                    <w:r>
                      <w:rPr>
                        <w:color w:val="1A365D"/>
                        <w:spacing w:val="-26"/>
                        <w:sz w:val="18"/>
                      </w:rPr>
                      <w:t xml:space="preserve"> Fondo </w:t>
                    </w:r>
                    <w:r>
                      <w:rPr>
                        <w:color w:val="1A365D"/>
                        <w:spacing w:val="-26"/>
                        <w:sz w:val="18"/>
                      </w:rPr>
                      <w:t xml:space="preserve">obbligazionario </w:t>
                    </w:r>
                    <w:r>
                      <w:rPr>
                        <w:color w:val="1A365D"/>
                        <w:spacing w:val="-26"/>
                        <w:sz w:val="18"/>
                      </w:rPr>
                      <w:t>ad</w:t>
                    </w:r>
                    <w:r>
                      <w:rPr>
                        <w:color w:val="1A365D"/>
                        <w:spacing w:val="10"/>
                        <w:w w:val="112"/>
                        <w:sz w:val="18"/>
                      </w:rPr>
                      <w:t xml:space="preserve"> alto </w:t>
                    </w:r>
                    <w:r>
                      <w:rPr>
                        <w:color w:val="1A365D"/>
                        <w:spacing w:val="-26"/>
                        <w:sz w:val="18"/>
                      </w:rPr>
                      <w:t>rendimento</w:t>
                    </w:r>
                  </w:p>
                </w:txbxContent>
              </v:textbox>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0"/>
      </w:rPr>
    </w:pPr>
    <w:r>
      <w:rPr>
        <w:sz w:val="20"/>
      </w:rPr>
      <mc:AlternateContent>
        <mc:Choice Requires="wpg">
          <w:drawing>
            <wp:anchor distT="0" distB="0" distL="0" distR="0" simplePos="0" relativeHeight="251658240" behindDoc="1" locked="0" layoutInCell="1" allowOverlap="1">
              <wp:simplePos x="0" y="0"/>
              <wp:positionH relativeFrom="page">
                <wp:posOffset>9144</wp:posOffset>
              </wp:positionH>
              <wp:positionV relativeFrom="page">
                <wp:posOffset>6095</wp:posOffset>
              </wp:positionV>
              <wp:extent cx="7543800" cy="573405"/>
              <wp:effectExtent l="0" t="0" r="0" b="0"/>
              <wp:wrapNone/>
              <wp:docPr id="1" name="Group 1"/>
              <wp:cNvGraphicFramePr/>
              <a:graphic xmlns:a="http://schemas.openxmlformats.org/drawingml/2006/main">
                <a:graphicData uri="http://schemas.microsoft.com/office/word/2010/wordprocessingGroup">
                  <wpg:wgp xmlns:wpg="http://schemas.microsoft.com/office/word/2010/wordprocessingGroup">
                    <wpg:cNvGrpSpPr/>
                    <wpg:grpSpPr>
                      <a:xfrm>
                        <a:off x="0" y="0"/>
                        <a:ext cx="7543800" cy="573405"/>
                        <a:chOff x="0" y="0"/>
                        <a:chExt cx="7543800" cy="573405"/>
                      </a:xfrm>
                    </wpg:grpSpPr>
                    <wps:wsp xmlns:wps="http://schemas.microsoft.com/office/word/2010/wordprocessingShape">
                      <wps:cNvPr id="2" name="Graphic 2"/>
                      <wps:cNvSpPr/>
                      <wps:spPr>
                        <a:xfrm>
                          <a:off x="0" y="0"/>
                          <a:ext cx="7543800" cy="573405"/>
                        </a:xfrm>
                        <a:custGeom>
                          <a:avLst/>
                          <a:gdLst/>
                          <a:rect l="l" t="t" r="r" b="b"/>
                          <a:pathLst>
                            <a:path fill="norm" h="573405" w="7543800" stroke="1">
                              <a:moveTo>
                                <a:pt x="7543800" y="573024"/>
                              </a:moveTo>
                              <a:lnTo>
                                <a:pt x="0" y="573024"/>
                              </a:lnTo>
                              <a:lnTo>
                                <a:pt x="0" y="0"/>
                              </a:lnTo>
                              <a:lnTo>
                                <a:pt x="7543800" y="0"/>
                              </a:lnTo>
                              <a:lnTo>
                                <a:pt x="7543800" y="573024"/>
                              </a:lnTo>
                              <a:close/>
                            </a:path>
                          </a:pathLst>
                        </a:custGeom>
                        <a:solidFill>
                          <a:srgbClr val="1A365D"/>
                        </a:solidFill>
                      </wps:spPr>
                      <wps:bodyPr wrap="square" lIns="0" tIns="0" rIns="0" bIns="0" rtlCol="0">
                        <a:prstTxWarp prst="textNoShape">
                          <a:avLst/>
                        </a:prstTxWarp>
                      </wps:bodyPr>
                    </wps:wsp>
                    <pic:pic xmlns:pic="http://schemas.openxmlformats.org/drawingml/2006/picture">
                      <pic:nvPicPr>
                        <pic:cNvPr id="3" name="Image 3"/>
                        <pic:cNvPicPr/>
                      </pic:nvPicPr>
                      <pic:blipFill>
                        <a:blip xmlns:r="http://schemas.openxmlformats.org/officeDocument/2006/relationships" r:embed="rId1" cstate="print"/>
                        <a:stretch>
                          <a:fillRect/>
                        </a:stretch>
                      </pic:blipFill>
                      <pic:spPr>
                        <a:xfrm>
                          <a:off x="534923" y="120395"/>
                          <a:ext cx="1271015" cy="329183"/>
                        </a:xfrm>
                        <a:prstGeom prst="rect">
                          <a:avLst/>
                        </a:prstGeom>
                      </pic:spPr>
                    </pic:pic>
                  </wpg:wgp>
                </a:graphicData>
              </a:graphic>
            </wp:anchor>
          </w:drawing>
        </mc:Choice>
        <mc:Fallback>
          <w:pict>
            <v:group id="_x0000_s2049" style="width:594pt;height:45.15pt;margin-top:0.48pt;margin-left:0.72pt;mso-position-horizontal-relative:page;mso-position-vertical-relative:page;position:absolute;z-index:-251657216" coordorigin="14,10" coordsize="11880,903">
              <v:rect id="_x0000_s2050" style="width:11880;height:903;left:14;position:absolute;top:9" filled="t" fillcolor="#1a365d" stroked="f">
                <v:fill type="solid"/>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width:2002;height:519;left:856;position:absolute;top:199" stroked="f">
                <v:imagedata r:id="rId1" o:title=""/>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0"/>
      </w:rPr>
    </w:pPr>
    <w:r>
      <w:rPr>
        <w:sz w:val="20"/>
      </w:rPr>
      <mc:AlternateContent>
        <mc:Choice Requires="wpg">
          <w:drawing>
            <wp:anchor distT="0" distB="0" distL="0" distR="0" simplePos="0" relativeHeight="251660288" behindDoc="1" locked="0" layoutInCell="1" allowOverlap="1">
              <wp:simplePos x="0" y="0"/>
              <wp:positionH relativeFrom="page">
                <wp:posOffset>9144</wp:posOffset>
              </wp:positionH>
              <wp:positionV relativeFrom="page">
                <wp:posOffset>6095</wp:posOffset>
              </wp:positionV>
              <wp:extent cx="7543800" cy="573405"/>
              <wp:effectExtent l="0" t="0" r="0" b="0"/>
              <wp:wrapNone/>
              <wp:docPr id="33" name="Group 33"/>
              <wp:cNvGraphicFramePr/>
              <a:graphic xmlns:a="http://schemas.openxmlformats.org/drawingml/2006/main">
                <a:graphicData uri="http://schemas.microsoft.com/office/word/2010/wordprocessingGroup">
                  <wpg:wgp xmlns:wpg="http://schemas.microsoft.com/office/word/2010/wordprocessingGroup">
                    <wpg:cNvGrpSpPr/>
                    <wpg:grpSpPr>
                      <a:xfrm>
                        <a:off x="0" y="0"/>
                        <a:ext cx="7543800" cy="573405"/>
                        <a:chOff x="0" y="0"/>
                        <a:chExt cx="7543800" cy="573405"/>
                      </a:xfrm>
                    </wpg:grpSpPr>
                    <wps:wsp xmlns:wps="http://schemas.microsoft.com/office/word/2010/wordprocessingShape">
                      <wps:cNvPr id="34" name="Graphic 34"/>
                      <wps:cNvSpPr/>
                      <wps:spPr>
                        <a:xfrm>
                          <a:off x="0" y="0"/>
                          <a:ext cx="7543800" cy="573405"/>
                        </a:xfrm>
                        <a:custGeom>
                          <a:avLst/>
                          <a:gdLst/>
                          <a:rect l="l" t="t" r="r" b="b"/>
                          <a:pathLst>
                            <a:path fill="norm" h="573405" w="7543800" stroke="1">
                              <a:moveTo>
                                <a:pt x="7543800" y="573024"/>
                              </a:moveTo>
                              <a:lnTo>
                                <a:pt x="0" y="573024"/>
                              </a:lnTo>
                              <a:lnTo>
                                <a:pt x="0" y="0"/>
                              </a:lnTo>
                              <a:lnTo>
                                <a:pt x="7543800" y="0"/>
                              </a:lnTo>
                              <a:lnTo>
                                <a:pt x="7543800" y="573024"/>
                              </a:lnTo>
                              <a:close/>
                            </a:path>
                          </a:pathLst>
                        </a:custGeom>
                        <a:solidFill>
                          <a:srgbClr val="1A365D"/>
                        </a:solidFill>
                      </wps:spPr>
                      <wps:bodyPr wrap="square" lIns="0" tIns="0" rIns="0" bIns="0" rtlCol="0">
                        <a:prstTxWarp prst="textNoShape">
                          <a:avLst/>
                        </a:prstTxWarp>
                      </wps:bodyPr>
                    </wps:wsp>
                    <pic:pic xmlns:pic="http://schemas.openxmlformats.org/drawingml/2006/picture">
                      <pic:nvPicPr>
                        <pic:cNvPr id="35" name="Image 35"/>
                        <pic:cNvPicPr/>
                      </pic:nvPicPr>
                      <pic:blipFill>
                        <a:blip xmlns:r="http://schemas.openxmlformats.org/officeDocument/2006/relationships" r:embed="rId1" cstate="print"/>
                        <a:stretch>
                          <a:fillRect/>
                        </a:stretch>
                      </pic:blipFill>
                      <pic:spPr>
                        <a:xfrm>
                          <a:off x="534923" y="120395"/>
                          <a:ext cx="1271015" cy="329183"/>
                        </a:xfrm>
                        <a:prstGeom prst="rect">
                          <a:avLst/>
                        </a:prstGeom>
                      </pic:spPr>
                    </pic:pic>
                  </wpg:wgp>
                </a:graphicData>
              </a:graphic>
            </wp:anchor>
          </w:drawing>
        </mc:Choice>
        <mc:Fallback>
          <w:pict>
            <v:group id="_x0000_s2054" style="width:594pt;height:45.15pt;margin-top:0.48pt;margin-left:0.72pt;mso-position-horizontal-relative:page;mso-position-vertical-relative:page;position:absolute;z-index:-251655168" coordorigin="14,10" coordsize="11880,903">
              <v:rect id="_x0000_s2055" style="width:11880;height:903;left:14;position:absolute;top:9" filled="t" fillcolor="#1a365d" stroked="f">
                <v:fill type="solid"/>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width:2002;height:519;left:856;position:absolute;top:199" stroked="f">
                <v:imagedata r:id="rId1"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3438C29"/>
    <w:multiLevelType w:val="hybridMultilevel"/>
    <w:tmpl w:val="00000000"/>
    <w:lvl w:ilvl="0">
      <w:start w:val="0"/>
      <w:numFmt w:val="bullet"/>
      <w:lvlText w:val="-"/>
      <w:lvlJc w:val="left"/>
      <w:pPr>
        <w:ind w:left="3093" w:hanging="128"/>
      </w:pPr>
      <w:rPr>
        <w:rFonts w:ascii="Times New Roman" w:eastAsia="Times New Roman" w:hAnsi="Times New Roman" w:cs="Times New Roman" w:hint="default"/>
        <w:b/>
        <w:bCs/>
        <w:i/>
        <w:iCs/>
        <w:spacing w:val="0"/>
        <w:w w:val="112"/>
        <w:sz w:val="20"/>
        <w:szCs w:val="20"/>
        <w:lang w:val="en-US" w:eastAsia="en-US" w:bidi="ar-SA"/>
      </w:rPr>
    </w:lvl>
    <w:lvl w:ilvl="1">
      <w:start w:val="0"/>
      <w:numFmt w:val="bullet"/>
      <w:lvlText w:val="•"/>
      <w:lvlJc w:val="left"/>
      <w:pPr>
        <w:ind w:left="3980" w:hanging="128"/>
      </w:pPr>
      <w:rPr>
        <w:rFonts w:hint="default"/>
        <w:lang w:val="en-US" w:eastAsia="en-US" w:bidi="ar-SA"/>
      </w:rPr>
    </w:lvl>
    <w:lvl w:ilvl="2">
      <w:start w:val="0"/>
      <w:numFmt w:val="bullet"/>
      <w:lvlText w:val="•"/>
      <w:lvlJc w:val="left"/>
      <w:pPr>
        <w:ind w:left="4861" w:hanging="128"/>
      </w:pPr>
      <w:rPr>
        <w:rFonts w:hint="default"/>
        <w:lang w:val="en-US" w:eastAsia="en-US" w:bidi="ar-SA"/>
      </w:rPr>
    </w:lvl>
    <w:lvl w:ilvl="3">
      <w:start w:val="0"/>
      <w:numFmt w:val="bullet"/>
      <w:lvlText w:val="•"/>
      <w:lvlJc w:val="left"/>
      <w:pPr>
        <w:ind w:left="5741" w:hanging="128"/>
      </w:pPr>
      <w:rPr>
        <w:rFonts w:hint="default"/>
        <w:lang w:val="en-US" w:eastAsia="en-US" w:bidi="ar-SA"/>
      </w:rPr>
    </w:lvl>
    <w:lvl w:ilvl="4">
      <w:start w:val="0"/>
      <w:numFmt w:val="bullet"/>
      <w:lvlText w:val="•"/>
      <w:lvlJc w:val="left"/>
      <w:pPr>
        <w:ind w:left="6622" w:hanging="128"/>
      </w:pPr>
      <w:rPr>
        <w:rFonts w:hint="default"/>
        <w:lang w:val="en-US" w:eastAsia="en-US" w:bidi="ar-SA"/>
      </w:rPr>
    </w:lvl>
    <w:lvl w:ilvl="5">
      <w:start w:val="0"/>
      <w:numFmt w:val="bullet"/>
      <w:lvlText w:val="•"/>
      <w:lvlJc w:val="left"/>
      <w:pPr>
        <w:ind w:left="7503" w:hanging="128"/>
      </w:pPr>
      <w:rPr>
        <w:rFonts w:hint="default"/>
        <w:lang w:val="en-US" w:eastAsia="en-US" w:bidi="ar-SA"/>
      </w:rPr>
    </w:lvl>
    <w:lvl w:ilvl="6">
      <w:start w:val="0"/>
      <w:numFmt w:val="bullet"/>
      <w:lvlText w:val="•"/>
      <w:lvlJc w:val="left"/>
      <w:pPr>
        <w:ind w:left="8383" w:hanging="128"/>
      </w:pPr>
      <w:rPr>
        <w:rFonts w:hint="default"/>
        <w:lang w:val="en-US" w:eastAsia="en-US" w:bidi="ar-SA"/>
      </w:rPr>
    </w:lvl>
    <w:lvl w:ilvl="7">
      <w:start w:val="0"/>
      <w:numFmt w:val="bullet"/>
      <w:lvlText w:val="•"/>
      <w:lvlJc w:val="left"/>
      <w:pPr>
        <w:ind w:left="9264" w:hanging="128"/>
      </w:pPr>
      <w:rPr>
        <w:rFonts w:hint="default"/>
        <w:lang w:val="en-US" w:eastAsia="en-US" w:bidi="ar-SA"/>
      </w:rPr>
    </w:lvl>
    <w:lvl w:ilvl="8">
      <w:start w:val="0"/>
      <w:numFmt w:val="bullet"/>
      <w:lvlText w:val="•"/>
      <w:lvlJc w:val="left"/>
      <w:pPr>
        <w:ind w:left="10145" w:hanging="128"/>
      </w:pPr>
      <w:rPr>
        <w:rFonts w:hint="default"/>
        <w:lang w:val="en-US" w:eastAsia="en-US" w:bidi="ar-SA"/>
      </w:rPr>
    </w:lvl>
  </w:abstractNum>
  <w:abstractNum w:abstractNumId="1">
    <w:nsid w:val="1D523CEA"/>
    <w:multiLevelType w:val="hybridMultilevel"/>
    <w:tmpl w:val="00000000"/>
    <w:lvl w:ilvl="0">
      <w:start w:val="1"/>
      <w:numFmt w:val="decimal"/>
      <w:lvlText w:val="%1."/>
      <w:lvlJc w:val="left"/>
      <w:pPr>
        <w:ind w:left="2383" w:hanging="137"/>
        <w:jc w:val="left"/>
      </w:pPr>
      <w:rPr>
        <w:rFonts w:ascii="Times New Roman" w:eastAsia="Times New Roman" w:hAnsi="Times New Roman" w:cs="Times New Roman" w:hint="default"/>
        <w:b w:val="0"/>
        <w:bCs w:val="0"/>
        <w:i w:val="0"/>
        <w:iCs w:val="0"/>
        <w:spacing w:val="-2"/>
        <w:w w:val="97"/>
        <w:sz w:val="16"/>
        <w:szCs w:val="16"/>
        <w:lang w:val="en-US" w:eastAsia="en-US" w:bidi="ar-SA"/>
      </w:rPr>
    </w:lvl>
    <w:lvl w:ilvl="1">
      <w:start w:val="0"/>
      <w:numFmt w:val="bullet"/>
      <w:lvlText w:val="•"/>
      <w:lvlJc w:val="left"/>
      <w:pPr>
        <w:ind w:left="3332" w:hanging="137"/>
      </w:pPr>
      <w:rPr>
        <w:rFonts w:hint="default"/>
        <w:lang w:val="en-US" w:eastAsia="en-US" w:bidi="ar-SA"/>
      </w:rPr>
    </w:lvl>
    <w:lvl w:ilvl="2">
      <w:start w:val="0"/>
      <w:numFmt w:val="bullet"/>
      <w:lvlText w:val="•"/>
      <w:lvlJc w:val="left"/>
      <w:pPr>
        <w:ind w:left="4285" w:hanging="137"/>
      </w:pPr>
      <w:rPr>
        <w:rFonts w:hint="default"/>
        <w:lang w:val="en-US" w:eastAsia="en-US" w:bidi="ar-SA"/>
      </w:rPr>
    </w:lvl>
    <w:lvl w:ilvl="3">
      <w:start w:val="0"/>
      <w:numFmt w:val="bullet"/>
      <w:lvlText w:val="•"/>
      <w:lvlJc w:val="left"/>
      <w:pPr>
        <w:ind w:left="5237" w:hanging="137"/>
      </w:pPr>
      <w:rPr>
        <w:rFonts w:hint="default"/>
        <w:lang w:val="en-US" w:eastAsia="en-US" w:bidi="ar-SA"/>
      </w:rPr>
    </w:lvl>
    <w:lvl w:ilvl="4">
      <w:start w:val="0"/>
      <w:numFmt w:val="bullet"/>
      <w:lvlText w:val="•"/>
      <w:lvlJc w:val="left"/>
      <w:pPr>
        <w:ind w:left="6190" w:hanging="137"/>
      </w:pPr>
      <w:rPr>
        <w:rFonts w:hint="default"/>
        <w:lang w:val="en-US" w:eastAsia="en-US" w:bidi="ar-SA"/>
      </w:rPr>
    </w:lvl>
    <w:lvl w:ilvl="5">
      <w:start w:val="0"/>
      <w:numFmt w:val="bullet"/>
      <w:lvlText w:val="•"/>
      <w:lvlJc w:val="left"/>
      <w:pPr>
        <w:ind w:left="7143" w:hanging="137"/>
      </w:pPr>
      <w:rPr>
        <w:rFonts w:hint="default"/>
        <w:lang w:val="en-US" w:eastAsia="en-US" w:bidi="ar-SA"/>
      </w:rPr>
    </w:lvl>
    <w:lvl w:ilvl="6">
      <w:start w:val="0"/>
      <w:numFmt w:val="bullet"/>
      <w:lvlText w:val="•"/>
      <w:lvlJc w:val="left"/>
      <w:pPr>
        <w:ind w:left="8095" w:hanging="137"/>
      </w:pPr>
      <w:rPr>
        <w:rFonts w:hint="default"/>
        <w:lang w:val="en-US" w:eastAsia="en-US" w:bidi="ar-SA"/>
      </w:rPr>
    </w:lvl>
    <w:lvl w:ilvl="7">
      <w:start w:val="0"/>
      <w:numFmt w:val="bullet"/>
      <w:lvlText w:val="•"/>
      <w:lvlJc w:val="left"/>
      <w:pPr>
        <w:ind w:left="9048" w:hanging="137"/>
      </w:pPr>
      <w:rPr>
        <w:rFonts w:hint="default"/>
        <w:lang w:val="en-US" w:eastAsia="en-US" w:bidi="ar-SA"/>
      </w:rPr>
    </w:lvl>
    <w:lvl w:ilvl="8">
      <w:start w:val="0"/>
      <w:numFmt w:val="bullet"/>
      <w:lvlText w:val="•"/>
      <w:lvlJc w:val="left"/>
      <w:pPr>
        <w:ind w:left="10001" w:hanging="137"/>
      </w:pPr>
      <w:rPr>
        <w:rFonts w:hint="default"/>
        <w:lang w:val="en-US" w:eastAsia="en-US" w:bidi="ar-SA"/>
      </w:rPr>
    </w:lvl>
  </w:abstractNum>
  <w:abstractNum w:abstractNumId="2">
    <w:nsid w:val="200AE16B"/>
    <w:multiLevelType w:val="hybridMultilevel"/>
    <w:tmpl w:val="00000000"/>
    <w:lvl w:ilvl="0">
      <w:start w:val="0"/>
      <w:numFmt w:val="bullet"/>
      <w:lvlText w:val="-"/>
      <w:lvlJc w:val="left"/>
      <w:pPr>
        <w:ind w:left="38" w:hanging="94"/>
      </w:pPr>
      <w:rPr>
        <w:rFonts w:ascii="Times New Roman" w:eastAsia="Times New Roman" w:hAnsi="Times New Roman" w:cs="Times New Roman" w:hint="default"/>
        <w:b w:val="0"/>
        <w:bCs w:val="0"/>
        <w:i w:val="0"/>
        <w:iCs w:val="0"/>
        <w:spacing w:val="0"/>
        <w:w w:val="100"/>
        <w:sz w:val="16"/>
        <w:szCs w:val="16"/>
        <w:lang w:val="en-US" w:eastAsia="en-US" w:bidi="ar-SA"/>
      </w:rPr>
    </w:lvl>
    <w:lvl w:ilvl="1">
      <w:start w:val="0"/>
      <w:numFmt w:val="bullet"/>
      <w:lvlText w:val="•"/>
      <w:lvlJc w:val="left"/>
      <w:pPr>
        <w:ind w:left="232" w:hanging="94"/>
      </w:pPr>
      <w:rPr>
        <w:rFonts w:hint="default"/>
        <w:lang w:val="en-US" w:eastAsia="en-US" w:bidi="ar-SA"/>
      </w:rPr>
    </w:lvl>
    <w:lvl w:ilvl="2">
      <w:start w:val="0"/>
      <w:numFmt w:val="bullet"/>
      <w:lvlText w:val="•"/>
      <w:lvlJc w:val="left"/>
      <w:pPr>
        <w:ind w:left="425" w:hanging="94"/>
      </w:pPr>
      <w:rPr>
        <w:rFonts w:hint="default"/>
        <w:lang w:val="en-US" w:eastAsia="en-US" w:bidi="ar-SA"/>
      </w:rPr>
    </w:lvl>
    <w:lvl w:ilvl="3">
      <w:start w:val="0"/>
      <w:numFmt w:val="bullet"/>
      <w:lvlText w:val="•"/>
      <w:lvlJc w:val="left"/>
      <w:pPr>
        <w:ind w:left="617" w:hanging="94"/>
      </w:pPr>
      <w:rPr>
        <w:rFonts w:hint="default"/>
        <w:lang w:val="en-US" w:eastAsia="en-US" w:bidi="ar-SA"/>
      </w:rPr>
    </w:lvl>
    <w:lvl w:ilvl="4">
      <w:start w:val="0"/>
      <w:numFmt w:val="bullet"/>
      <w:lvlText w:val="•"/>
      <w:lvlJc w:val="left"/>
      <w:pPr>
        <w:ind w:left="810" w:hanging="94"/>
      </w:pPr>
      <w:rPr>
        <w:rFonts w:hint="default"/>
        <w:lang w:val="en-US" w:eastAsia="en-US" w:bidi="ar-SA"/>
      </w:rPr>
    </w:lvl>
    <w:lvl w:ilvl="5">
      <w:start w:val="0"/>
      <w:numFmt w:val="bullet"/>
      <w:lvlText w:val="•"/>
      <w:lvlJc w:val="left"/>
      <w:pPr>
        <w:ind w:left="1002" w:hanging="94"/>
      </w:pPr>
      <w:rPr>
        <w:rFonts w:hint="default"/>
        <w:lang w:val="en-US" w:eastAsia="en-US" w:bidi="ar-SA"/>
      </w:rPr>
    </w:lvl>
    <w:lvl w:ilvl="6">
      <w:start w:val="0"/>
      <w:numFmt w:val="bullet"/>
      <w:lvlText w:val="•"/>
      <w:lvlJc w:val="left"/>
      <w:pPr>
        <w:ind w:left="1195" w:hanging="94"/>
      </w:pPr>
      <w:rPr>
        <w:rFonts w:hint="default"/>
        <w:lang w:val="en-US" w:eastAsia="en-US" w:bidi="ar-SA"/>
      </w:rPr>
    </w:lvl>
    <w:lvl w:ilvl="7">
      <w:start w:val="0"/>
      <w:numFmt w:val="bullet"/>
      <w:lvlText w:val="•"/>
      <w:lvlJc w:val="left"/>
      <w:pPr>
        <w:ind w:left="1387" w:hanging="94"/>
      </w:pPr>
      <w:rPr>
        <w:rFonts w:hint="default"/>
        <w:lang w:val="en-US" w:eastAsia="en-US" w:bidi="ar-SA"/>
      </w:rPr>
    </w:lvl>
    <w:lvl w:ilvl="8">
      <w:start w:val="0"/>
      <w:numFmt w:val="bullet"/>
      <w:lvlText w:val="•"/>
      <w:lvlJc w:val="left"/>
      <w:pPr>
        <w:ind w:left="1580" w:hanging="94"/>
      </w:pPr>
      <w:rPr>
        <w:rFonts w:hint="default"/>
        <w:lang w:val="en-US" w:eastAsia="en-US" w:bidi="ar-SA"/>
      </w:rPr>
    </w:lvl>
  </w:abstractNum>
  <w:abstractNum w:abstractNumId="3">
    <w:nsid w:val="55547514"/>
    <w:multiLevelType w:val="hybridMultilevel"/>
    <w:tmpl w:val="00000000"/>
    <w:lvl w:ilvl="0">
      <w:start w:val="1"/>
      <w:numFmt w:val="decimal"/>
      <w:lvlText w:val="%1."/>
      <w:lvlJc w:val="left"/>
      <w:pPr>
        <w:ind w:left="2400" w:hanging="243"/>
        <w:jc w:val="left"/>
      </w:pPr>
      <w:rPr>
        <w:rFonts w:ascii="Times New Roman" w:eastAsia="Times New Roman" w:hAnsi="Times New Roman" w:cs="Times New Roman" w:hint="default"/>
        <w:b w:val="0"/>
        <w:bCs w:val="0"/>
        <w:i w:val="0"/>
        <w:iCs w:val="0"/>
        <w:spacing w:val="0"/>
        <w:w w:val="92"/>
        <w:sz w:val="18"/>
        <w:szCs w:val="18"/>
        <w:lang w:val="en-US" w:eastAsia="en-US" w:bidi="ar-SA"/>
      </w:rPr>
    </w:lvl>
    <w:lvl w:ilvl="1">
      <w:start w:val="0"/>
      <w:numFmt w:val="bullet"/>
      <w:lvlText w:val="•"/>
      <w:lvlJc w:val="left"/>
      <w:pPr>
        <w:ind w:left="3350" w:hanging="243"/>
      </w:pPr>
      <w:rPr>
        <w:rFonts w:hint="default"/>
        <w:lang w:val="en-US" w:eastAsia="en-US" w:bidi="ar-SA"/>
      </w:rPr>
    </w:lvl>
    <w:lvl w:ilvl="2">
      <w:start w:val="0"/>
      <w:numFmt w:val="bullet"/>
      <w:lvlText w:val="•"/>
      <w:lvlJc w:val="left"/>
      <w:pPr>
        <w:ind w:left="4301" w:hanging="243"/>
      </w:pPr>
      <w:rPr>
        <w:rFonts w:hint="default"/>
        <w:lang w:val="en-US" w:eastAsia="en-US" w:bidi="ar-SA"/>
      </w:rPr>
    </w:lvl>
    <w:lvl w:ilvl="3">
      <w:start w:val="0"/>
      <w:numFmt w:val="bullet"/>
      <w:lvlText w:val="•"/>
      <w:lvlJc w:val="left"/>
      <w:pPr>
        <w:ind w:left="5251" w:hanging="243"/>
      </w:pPr>
      <w:rPr>
        <w:rFonts w:hint="default"/>
        <w:lang w:val="en-US" w:eastAsia="en-US" w:bidi="ar-SA"/>
      </w:rPr>
    </w:lvl>
    <w:lvl w:ilvl="4">
      <w:start w:val="0"/>
      <w:numFmt w:val="bullet"/>
      <w:lvlText w:val="•"/>
      <w:lvlJc w:val="left"/>
      <w:pPr>
        <w:ind w:left="6202" w:hanging="243"/>
      </w:pPr>
      <w:rPr>
        <w:rFonts w:hint="default"/>
        <w:lang w:val="en-US" w:eastAsia="en-US" w:bidi="ar-SA"/>
      </w:rPr>
    </w:lvl>
    <w:lvl w:ilvl="5">
      <w:start w:val="0"/>
      <w:numFmt w:val="bullet"/>
      <w:lvlText w:val="•"/>
      <w:lvlJc w:val="left"/>
      <w:pPr>
        <w:ind w:left="7153" w:hanging="243"/>
      </w:pPr>
      <w:rPr>
        <w:rFonts w:hint="default"/>
        <w:lang w:val="en-US" w:eastAsia="en-US" w:bidi="ar-SA"/>
      </w:rPr>
    </w:lvl>
    <w:lvl w:ilvl="6">
      <w:start w:val="0"/>
      <w:numFmt w:val="bullet"/>
      <w:lvlText w:val="•"/>
      <w:lvlJc w:val="left"/>
      <w:pPr>
        <w:ind w:left="8103" w:hanging="243"/>
      </w:pPr>
      <w:rPr>
        <w:rFonts w:hint="default"/>
        <w:lang w:val="en-US" w:eastAsia="en-US" w:bidi="ar-SA"/>
      </w:rPr>
    </w:lvl>
    <w:lvl w:ilvl="7">
      <w:start w:val="0"/>
      <w:numFmt w:val="bullet"/>
      <w:lvlText w:val="•"/>
      <w:lvlJc w:val="left"/>
      <w:pPr>
        <w:ind w:left="9054" w:hanging="243"/>
      </w:pPr>
      <w:rPr>
        <w:rFonts w:hint="default"/>
        <w:lang w:val="en-US" w:eastAsia="en-US" w:bidi="ar-SA"/>
      </w:rPr>
    </w:lvl>
    <w:lvl w:ilvl="8">
      <w:start w:val="0"/>
      <w:numFmt w:val="bullet"/>
      <w:lvlText w:val="•"/>
      <w:lvlJc w:val="left"/>
      <w:pPr>
        <w:ind w:left="10005" w:hanging="243"/>
      </w:pPr>
      <w:rPr>
        <w:rFonts w:hint="default"/>
        <w:lang w:val="en-US" w:eastAsia="en-US" w:bidi="ar-SA"/>
      </w:rPr>
    </w:lvl>
  </w:abstractNum>
  <w:abstractNum w:abstractNumId="4">
    <w:nsid w:val="764B4BCF"/>
    <w:multiLevelType w:val="hybridMultilevel"/>
    <w:tmpl w:val="00000000"/>
    <w:lvl w:ilvl="0">
      <w:start w:val="1"/>
      <w:numFmt w:val="decimal"/>
      <w:lvlText w:val="%1."/>
      <w:lvlJc w:val="left"/>
      <w:pPr>
        <w:ind w:left="2325" w:hanging="140"/>
        <w:jc w:val="left"/>
      </w:pPr>
      <w:rPr>
        <w:rFonts w:ascii="Times New Roman" w:eastAsia="Times New Roman" w:hAnsi="Times New Roman" w:cs="Times New Roman" w:hint="default"/>
        <w:b w:val="0"/>
        <w:bCs w:val="0"/>
        <w:i w:val="0"/>
        <w:iCs w:val="0"/>
        <w:spacing w:val="-2"/>
        <w:w w:val="97"/>
        <w:sz w:val="16"/>
        <w:szCs w:val="16"/>
        <w:lang w:val="en-US" w:eastAsia="en-US" w:bidi="ar-SA"/>
      </w:rPr>
    </w:lvl>
    <w:lvl w:ilvl="1">
      <w:start w:val="0"/>
      <w:numFmt w:val="bullet"/>
      <w:lvlText w:val="•"/>
      <w:lvlJc w:val="left"/>
      <w:pPr>
        <w:ind w:left="3278" w:hanging="140"/>
      </w:pPr>
      <w:rPr>
        <w:rFonts w:hint="default"/>
        <w:lang w:val="en-US" w:eastAsia="en-US" w:bidi="ar-SA"/>
      </w:rPr>
    </w:lvl>
    <w:lvl w:ilvl="2">
      <w:start w:val="0"/>
      <w:numFmt w:val="bullet"/>
      <w:lvlText w:val="•"/>
      <w:lvlJc w:val="left"/>
      <w:pPr>
        <w:ind w:left="4237" w:hanging="140"/>
      </w:pPr>
      <w:rPr>
        <w:rFonts w:hint="default"/>
        <w:lang w:val="en-US" w:eastAsia="en-US" w:bidi="ar-SA"/>
      </w:rPr>
    </w:lvl>
    <w:lvl w:ilvl="3">
      <w:start w:val="0"/>
      <w:numFmt w:val="bullet"/>
      <w:lvlText w:val="•"/>
      <w:lvlJc w:val="left"/>
      <w:pPr>
        <w:ind w:left="5195" w:hanging="140"/>
      </w:pPr>
      <w:rPr>
        <w:rFonts w:hint="default"/>
        <w:lang w:val="en-US" w:eastAsia="en-US" w:bidi="ar-SA"/>
      </w:rPr>
    </w:lvl>
    <w:lvl w:ilvl="4">
      <w:start w:val="0"/>
      <w:numFmt w:val="bullet"/>
      <w:lvlText w:val="•"/>
      <w:lvlJc w:val="left"/>
      <w:pPr>
        <w:ind w:left="6154" w:hanging="140"/>
      </w:pPr>
      <w:rPr>
        <w:rFonts w:hint="default"/>
        <w:lang w:val="en-US" w:eastAsia="en-US" w:bidi="ar-SA"/>
      </w:rPr>
    </w:lvl>
    <w:lvl w:ilvl="5">
      <w:start w:val="0"/>
      <w:numFmt w:val="bullet"/>
      <w:lvlText w:val="•"/>
      <w:lvlJc w:val="left"/>
      <w:pPr>
        <w:ind w:left="7113" w:hanging="140"/>
      </w:pPr>
      <w:rPr>
        <w:rFonts w:hint="default"/>
        <w:lang w:val="en-US" w:eastAsia="en-US" w:bidi="ar-SA"/>
      </w:rPr>
    </w:lvl>
    <w:lvl w:ilvl="6">
      <w:start w:val="0"/>
      <w:numFmt w:val="bullet"/>
      <w:lvlText w:val="•"/>
      <w:lvlJc w:val="left"/>
      <w:pPr>
        <w:ind w:left="8071" w:hanging="140"/>
      </w:pPr>
      <w:rPr>
        <w:rFonts w:hint="default"/>
        <w:lang w:val="en-US" w:eastAsia="en-US" w:bidi="ar-SA"/>
      </w:rPr>
    </w:lvl>
    <w:lvl w:ilvl="7">
      <w:start w:val="0"/>
      <w:numFmt w:val="bullet"/>
      <w:lvlText w:val="•"/>
      <w:lvlJc w:val="left"/>
      <w:pPr>
        <w:ind w:left="9030" w:hanging="140"/>
      </w:pPr>
      <w:rPr>
        <w:rFonts w:hint="default"/>
        <w:lang w:val="en-US" w:eastAsia="en-US" w:bidi="ar-SA"/>
      </w:rPr>
    </w:lvl>
    <w:lvl w:ilvl="8">
      <w:start w:val="0"/>
      <w:numFmt w:val="bullet"/>
      <w:lvlText w:val="•"/>
      <w:lvlJc w:val="left"/>
      <w:pPr>
        <w:ind w:left="9989" w:hanging="140"/>
      </w:pPr>
      <w:rPr>
        <w:rFonts w:hint="default"/>
        <w:lang w:val="en-US" w:eastAsia="en-US" w:bidi="ar-SA"/>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en-US" w:eastAsia="en-US" w:bidi="ar-SA"/>
    </w:rPr>
  </w:style>
  <w:style w:type="paragraph" w:styleId="Heading1">
    <w:name w:val="heading 1"/>
    <w:basedOn w:val="Normal"/>
    <w:uiPriority w:val="1"/>
    <w:qFormat/>
    <w:pPr>
      <w:spacing w:before="241"/>
      <w:ind w:left="2510" w:right="986" w:firstLine="4"/>
      <w:jc w:val="center"/>
      <w:outlineLvl w:val="0"/>
    </w:pPr>
    <w:rPr>
      <w:rFonts w:ascii="Times New Roman" w:eastAsia="Times New Roman" w:hAnsi="Times New Roman" w:cs="Times New Roman"/>
      <w:b/>
      <w:bCs/>
      <w:sz w:val="28"/>
      <w:szCs w:val="28"/>
      <w:lang w:val="en-US" w:eastAsia="en-US" w:bidi="ar-SA"/>
    </w:rPr>
  </w:style>
  <w:style w:type="paragraph" w:styleId="Heading2">
    <w:name w:val="heading 2"/>
    <w:basedOn w:val="Normal"/>
    <w:uiPriority w:val="1"/>
    <w:qFormat/>
    <w:pPr>
      <w:ind w:left="2318"/>
      <w:outlineLvl w:val="1"/>
    </w:pPr>
    <w:rPr>
      <w:rFonts w:ascii="Times New Roman" w:eastAsia="Times New Roman" w:hAnsi="Times New Roman" w:cs="Times New Roman"/>
      <w:b/>
      <w:bCs/>
      <w:sz w:val="20"/>
      <w:szCs w:val="20"/>
      <w:lang w:val="en-US" w:eastAsia="en-US" w:bidi="ar-SA"/>
    </w:rPr>
  </w:style>
  <w:style w:type="paragraph" w:styleId="Heading3">
    <w:name w:val="heading 3"/>
    <w:basedOn w:val="Normal"/>
    <w:uiPriority w:val="1"/>
    <w:qFormat/>
    <w:pPr>
      <w:ind w:left="2767" w:right="888"/>
      <w:outlineLvl w:val="2"/>
    </w:pPr>
    <w:rPr>
      <w:rFonts w:ascii="Times New Roman" w:eastAsia="Times New Roman" w:hAnsi="Times New Roman" w:cs="Times New Roman"/>
      <w:b/>
      <w:bCs/>
      <w:i/>
      <w:iCs/>
      <w:sz w:val="20"/>
      <w:szCs w:val="20"/>
      <w:lang w:val="en-US" w:eastAsia="en-US" w:bidi="ar-SA"/>
    </w:rPr>
  </w:style>
  <w:style w:type="character" w:default="1" w:styleId="DefaultParagraphFont">
    <w:name w:val="Default Paragraph Font"/>
    <w:uiPriority w:val="1"/>
    <w:semiHidden/>
    <w:unhideWhenUsed/>
  </w:style>
  <w:style w:type="numbering" w:default="1" w:styleId="NoLi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rFonts w:ascii="Times New Roman" w:eastAsia="Times New Roman" w:hAnsi="Times New Roman" w:cs="Times New Roman"/>
      <w:sz w:val="18"/>
      <w:szCs w:val="18"/>
      <w:lang w:val="en-US" w:eastAsia="en-US" w:bidi="ar-SA"/>
    </w:rPr>
  </w:style>
  <w:style w:type="paragraph" w:styleId="Title">
    <w:name w:val="Title"/>
    <w:basedOn w:val="Normal"/>
    <w:uiPriority w:val="1"/>
    <w:qFormat/>
    <w:pPr>
      <w:ind w:left="3614"/>
    </w:pPr>
    <w:rPr>
      <w:rFonts w:ascii="Times New Roman" w:eastAsia="Times New Roman" w:hAnsi="Times New Roman" w:cs="Times New Roman"/>
      <w:sz w:val="32"/>
      <w:szCs w:val="32"/>
      <w:lang w:val="en-US" w:eastAsia="en-US" w:bidi="ar-SA"/>
    </w:rPr>
  </w:style>
  <w:style w:type="paragraph" w:styleId="ListParagraph">
    <w:name w:val="List Paragraph"/>
    <w:basedOn w:val="Normal"/>
    <w:uiPriority w:val="1"/>
    <w:qFormat/>
    <w:pPr>
      <w:ind w:left="2581" w:hanging="1"/>
    </w:pPr>
    <w:rPr>
      <w:rFonts w:ascii="Times New Roman" w:eastAsia="Times New Roman" w:hAnsi="Times New Roman" w:cs="Times New Roman"/>
      <w:lang w:val="en-US" w:eastAsia="en-US" w:bidi="ar-SA"/>
    </w:rPr>
  </w:style>
  <w:style w:type="paragraph" w:customStyle="1" w:styleId="TableParagraph">
    <w:name w:val="Table Paragraph"/>
    <w:basedOn w:val="Normal"/>
    <w:uiPriority w:val="1"/>
    <w:qFormat/>
    <w:rPr>
      <w:rFonts w:ascii="Times New Roman" w:eastAsia="Times New Roman" w:hAnsi="Times New Roman" w:cs="Times New Rom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header" Target="header2.xml" /><Relationship Id="rId12" Type="http://schemas.openxmlformats.org/officeDocument/2006/relationships/footer" Target="footer2.xml" /><Relationship Id="rId13" Type="http://schemas.openxmlformats.org/officeDocument/2006/relationships/image" Target="media/image7.jpeg" /><Relationship Id="rId14" Type="http://schemas.openxmlformats.org/officeDocument/2006/relationships/image" Target="media/image8.png" /><Relationship Id="rId15" Type="http://schemas.openxmlformats.org/officeDocument/2006/relationships/image" Target="media/image9.png" /><Relationship Id="rId16" Type="http://schemas.openxmlformats.org/officeDocument/2006/relationships/image" Target="media/image10.jpeg" /><Relationship Id="rId17" Type="http://schemas.openxmlformats.org/officeDocument/2006/relationships/hyperlink" Target="http://www.wellingtonfunds.com/sfdr" TargetMode="External" /><Relationship Id="rId18" Type="http://schemas.openxmlformats.org/officeDocument/2006/relationships/header" Target="header3.xml" /><Relationship Id="rId19" Type="http://schemas.openxmlformats.org/officeDocument/2006/relationships/footer" Target="footer3.xml" /><Relationship Id="rId2" Type="http://schemas.openxmlformats.org/officeDocument/2006/relationships/webSettings" Target="webSettings.xml" /><Relationship Id="rId20" Type="http://schemas.openxmlformats.org/officeDocument/2006/relationships/image" Target="media/image11.jpeg" /><Relationship Id="rId21" Type="http://schemas.openxmlformats.org/officeDocument/2006/relationships/image" Target="media/image12.png" /><Relationship Id="rId22" Type="http://schemas.openxmlformats.org/officeDocument/2006/relationships/image" Target="media/image13.jpeg" /><Relationship Id="rId23" Type="http://schemas.openxmlformats.org/officeDocument/2006/relationships/image" Target="media/image14.png" /><Relationship Id="rId24" Type="http://schemas.openxmlformats.org/officeDocument/2006/relationships/image" Target="media/image15.png" /><Relationship Id="rId25" Type="http://schemas.openxmlformats.org/officeDocument/2006/relationships/image" Target="media/image16.jpeg" /><Relationship Id="rId26" Type="http://schemas.openxmlformats.org/officeDocument/2006/relationships/image" Target="media/image17.jpeg" /><Relationship Id="rId27" Type="http://schemas.openxmlformats.org/officeDocument/2006/relationships/image" Target="media/image18.jpeg" /><Relationship Id="rId28" Type="http://schemas.openxmlformats.org/officeDocument/2006/relationships/image" Target="media/image19.jpeg" /><Relationship Id="rId29" Type="http://schemas.openxmlformats.org/officeDocument/2006/relationships/image" Target="media/image20.png" /><Relationship Id="rId3" Type="http://schemas.openxmlformats.org/officeDocument/2006/relationships/fontTable" Target="fontTable.xml" /><Relationship Id="rId30" Type="http://schemas.openxmlformats.org/officeDocument/2006/relationships/image" Target="media/image21.png" /><Relationship Id="rId31" Type="http://schemas.openxmlformats.org/officeDocument/2006/relationships/image" Target="media/image22.jpeg" /><Relationship Id="rId32" Type="http://schemas.openxmlformats.org/officeDocument/2006/relationships/image" Target="media/image23.jpeg" /><Relationship Id="rId33" Type="http://schemas.openxmlformats.org/officeDocument/2006/relationships/hyperlink" Target="https://docs.wellington.com/list/public/documents?query=TEMPLATE_TYP=SustainabilityRelatedDisclosure%26in(fundId%2CF000043)%26languageCd=EN&amp;recentMatch=true&amp;download=true" TargetMode="External" /><Relationship Id="rId34" Type="http://schemas.openxmlformats.org/officeDocument/2006/relationships/theme" Target="theme/theme1.xml" /><Relationship Id="rId35" Type="http://schemas.openxmlformats.org/officeDocument/2006/relationships/numbering" Target="numbering.xml" /><Relationship Id="rId36" Type="http://schemas.openxmlformats.org/officeDocument/2006/relationships/styles" Target="styles.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png" /><Relationship Id="rId9" Type="http://schemas.openxmlformats.org/officeDocument/2006/relationships/image" Target="media/image5.png"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_rels/header3.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download.pdf</dc:title>
  <dc:creator>Tofi Martina (UniCredit Life Insurance - IT)</dc:creator>
  <cp:keywords>, docId:75C4D6FF3E4B830867FEE90E4318A252</cp:keywords>
  <cp:revision>0</cp:revision>
  <dcterms:created xsi:type="dcterms:W3CDTF">2026-06-18T10:42:55Z</dcterms:created>
  <dcterms:modified xsi:type="dcterms:W3CDTF">2026-06-18T10:42:55Z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2026-05-12T00:00:00Z</vt:filetime>
  </property>
  <property fmtid="{D5CDD505-2E9C-101B-9397-08002B2CF9AE}" pid="3" name="LastSaved">
    <vt:filetime>2026-06-18T00:00:00Z</vt:filetime>
  </property>
  <property fmtid="{D5CDD505-2E9C-101B-9397-08002B2CF9AE}" pid="4" name="Producer">
    <vt:lpwstr>Microsoft: Print To PDF</vt:lpwstr>
  </property>
</Properties>
</file>